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8D08" w14:textId="7F1E1CDD" w:rsidR="007C570C" w:rsidRPr="00485E38" w:rsidRDefault="00251901" w:rsidP="00251901">
      <w:pPr>
        <w:jc w:val="center"/>
        <w:rPr>
          <w:b/>
          <w:bCs/>
          <w:sz w:val="48"/>
          <w:szCs w:val="48"/>
        </w:rPr>
      </w:pPr>
      <w:r w:rsidRPr="00485E38">
        <w:rPr>
          <w:b/>
          <w:bCs/>
          <w:sz w:val="48"/>
          <w:szCs w:val="48"/>
        </w:rPr>
        <w:t>Programme ESMS Numérique</w:t>
      </w:r>
    </w:p>
    <w:p w14:paraId="5ADAABA1" w14:textId="31FC2C15" w:rsidR="003B7969" w:rsidRPr="00F66C18" w:rsidRDefault="00090922">
      <w:pPr>
        <w:rPr>
          <w:b/>
          <w:bCs/>
        </w:rPr>
      </w:pPr>
      <w:r w:rsidRPr="00F66C18">
        <w:rPr>
          <w:b/>
          <w:bCs/>
        </w:rPr>
        <w:t>Contexte :</w:t>
      </w:r>
    </w:p>
    <w:p w14:paraId="3233FEC4" w14:textId="4CF5BE42" w:rsidR="00090922" w:rsidRDefault="007E0198">
      <w:r>
        <w:t>Le numérique constitue une opportunité pour améliorer le parcours de suivi des usagers de santé et le partage d’information entre acteurs du sanitaire, du médico-social, de la formation et de l’insertion professionnelle ou vers les usagers et proche-aidants. Cependant, le secteur des ESSMS a pris du retard sur ce sujet par manque d’équipements, de personnel et d’expérience dans ce domaine.</w:t>
      </w:r>
    </w:p>
    <w:p w14:paraId="0A90C4A5" w14:textId="336FF163" w:rsidR="00F66C18" w:rsidRDefault="00F66C18">
      <w:r>
        <w:t xml:space="preserve">Le Ségur de la Santé offre l’opportunité d’accélérer le </w:t>
      </w:r>
      <w:r w:rsidR="00175887">
        <w:t>déploiement</w:t>
      </w:r>
      <w:r>
        <w:t xml:space="preserve"> </w:t>
      </w:r>
      <w:r w:rsidR="00175887">
        <w:t>du</w:t>
      </w:r>
      <w:r>
        <w:t xml:space="preserve"> numérique en Santé et dans les pratiques des ESSMS</w:t>
      </w:r>
    </w:p>
    <w:p w14:paraId="5070D33B" w14:textId="14290E53" w:rsidR="003B7969" w:rsidRPr="00F66C18" w:rsidRDefault="003B7969">
      <w:pPr>
        <w:rPr>
          <w:b/>
          <w:bCs/>
        </w:rPr>
      </w:pPr>
      <w:proofErr w:type="gramStart"/>
      <w:r w:rsidRPr="00F66C18">
        <w:rPr>
          <w:b/>
          <w:bCs/>
        </w:rPr>
        <w:t>Objecti</w:t>
      </w:r>
      <w:r w:rsidR="007755EC">
        <w:rPr>
          <w:b/>
          <w:bCs/>
        </w:rPr>
        <w:t>fs</w:t>
      </w:r>
      <w:r w:rsidRPr="00F66C18">
        <w:rPr>
          <w:b/>
          <w:bCs/>
        </w:rPr>
        <w:t>:</w:t>
      </w:r>
      <w:proofErr w:type="gramEnd"/>
    </w:p>
    <w:p w14:paraId="54306389" w14:textId="09AE2C48" w:rsidR="003B7969" w:rsidRPr="003B7969" w:rsidRDefault="007755EC" w:rsidP="007E0198">
      <w:r>
        <w:t xml:space="preserve">Le </w:t>
      </w:r>
      <w:r w:rsidR="003B7969" w:rsidRPr="003B7969">
        <w:t>« financement ESMS Numérique » a pour principal objectif de permettre aux maîtrises d’ouvrage des ES</w:t>
      </w:r>
      <w:r w:rsidR="00090922" w:rsidRPr="007E0198">
        <w:t>S</w:t>
      </w:r>
      <w:r w:rsidR="003B7969" w:rsidRPr="003B7969">
        <w:t xml:space="preserve">MS de développer et généraliser l’utilisation du numérique dans le secteur au travers du déploiement d’un </w:t>
      </w:r>
      <w:r w:rsidR="003B7969" w:rsidRPr="007E0198">
        <w:t>« </w:t>
      </w:r>
      <w:r w:rsidR="003B7969" w:rsidRPr="003B7969">
        <w:t>D</w:t>
      </w:r>
      <w:r w:rsidR="003B7969" w:rsidRPr="007E0198">
        <w:t xml:space="preserve">ossier </w:t>
      </w:r>
      <w:r w:rsidR="003B7969" w:rsidRPr="003B7969">
        <w:t>U</w:t>
      </w:r>
      <w:r w:rsidR="003B7969" w:rsidRPr="007E0198">
        <w:t xml:space="preserve">sager </w:t>
      </w:r>
      <w:r w:rsidR="003B7969" w:rsidRPr="003B7969">
        <w:t>I</w:t>
      </w:r>
      <w:r w:rsidR="003B7969" w:rsidRPr="007E0198">
        <w:t>nformatisé » (DUI)</w:t>
      </w:r>
      <w:r w:rsidR="003B7969" w:rsidRPr="003B7969">
        <w:t xml:space="preserve"> interopérable et de son utilisation effective.</w:t>
      </w:r>
    </w:p>
    <w:p w14:paraId="5F67675E" w14:textId="23585BF1" w:rsidR="003B7969" w:rsidRPr="003B7969" w:rsidRDefault="003B7969" w:rsidP="007E0198">
      <w:r w:rsidRPr="003B7969">
        <w:t xml:space="preserve">Le principe général du financement </w:t>
      </w:r>
      <w:r w:rsidR="007755EC">
        <w:t>« </w:t>
      </w:r>
      <w:r w:rsidRPr="003B7969">
        <w:t>ESMS numérique</w:t>
      </w:r>
      <w:r w:rsidR="007755EC">
        <w:t> »</w:t>
      </w:r>
      <w:r w:rsidRPr="003B7969">
        <w:t xml:space="preserve"> repose sur deux critères généraux :</w:t>
      </w:r>
    </w:p>
    <w:p w14:paraId="1CF570DE" w14:textId="15CBBA83" w:rsidR="003B7969" w:rsidRPr="003B7969" w:rsidRDefault="003B7969" w:rsidP="007E0198">
      <w:pPr>
        <w:pStyle w:val="Paragraphedeliste"/>
        <w:numPr>
          <w:ilvl w:val="0"/>
          <w:numId w:val="2"/>
        </w:numPr>
      </w:pPr>
      <w:r w:rsidRPr="007E0198">
        <w:rPr>
          <w:b/>
          <w:bCs/>
        </w:rPr>
        <w:t>S’équiper d’un logiciel DUI</w:t>
      </w:r>
      <w:r w:rsidRPr="003B7969">
        <w:t xml:space="preserve"> conforme au Dossier de Spécification de Référencement Ségur du domaine</w:t>
      </w:r>
      <w:r w:rsidR="00F66C18">
        <w:t xml:space="preserve"> (voir Site de l’ANS)</w:t>
      </w:r>
      <w:r w:rsidRPr="007E0198">
        <w:t> ;</w:t>
      </w:r>
    </w:p>
    <w:p w14:paraId="0EF7C7D2" w14:textId="544B4E93" w:rsidR="003B7969" w:rsidRPr="003B7969" w:rsidRDefault="003B7969" w:rsidP="007E0198">
      <w:pPr>
        <w:pStyle w:val="Paragraphedeliste"/>
        <w:numPr>
          <w:ilvl w:val="0"/>
          <w:numId w:val="2"/>
        </w:numPr>
      </w:pPr>
      <w:r w:rsidRPr="007E0198">
        <w:rPr>
          <w:b/>
          <w:bCs/>
        </w:rPr>
        <w:t>Atteindre des cibles d’usage</w:t>
      </w:r>
      <w:r w:rsidRPr="007E0198">
        <w:t xml:space="preserve"> via l’utilisation de ce logiciel DUI</w:t>
      </w:r>
      <w:r w:rsidRPr="003B7969">
        <w:t xml:space="preserve">. Ce critère est une condition de </w:t>
      </w:r>
      <w:proofErr w:type="gramStart"/>
      <w:r w:rsidRPr="003B7969">
        <w:t>versement</w:t>
      </w:r>
      <w:proofErr w:type="gramEnd"/>
      <w:r w:rsidRPr="003B7969">
        <w:t xml:space="preserve"> des financements.</w:t>
      </w:r>
    </w:p>
    <w:p w14:paraId="6DDAE6B0" w14:textId="2392062A" w:rsidR="003B7969" w:rsidRDefault="00F66C18">
      <w:r>
        <w:t xml:space="preserve">Le financement couvre donc l’acquisition mais aussi le développement des usages d’une solution déjà utilisée. Une évolution </w:t>
      </w:r>
      <w:r w:rsidR="005201F3">
        <w:t>d’une telle solution</w:t>
      </w:r>
      <w:r>
        <w:t xml:space="preserve"> vers les exigences nationales </w:t>
      </w:r>
      <w:proofErr w:type="gramStart"/>
      <w:r>
        <w:t>peuvent</w:t>
      </w:r>
      <w:proofErr w:type="gramEnd"/>
      <w:r>
        <w:t xml:space="preserve"> être prise en charge par la prestation Ségur du dispositif SONS.</w:t>
      </w:r>
    </w:p>
    <w:p w14:paraId="00853960" w14:textId="7E9111AB" w:rsidR="002078A5" w:rsidRDefault="002078A5">
      <w:r>
        <w:t>Le dispositif SONS est un outil d’achat par l’état pour le compte des ESSMS : achat et mis en œuvre d’un système DUI. Il ne peut être cumulé par le volet « équipement » du dispositif « ESMS numérique » (porteur acquérant l’équipement)</w:t>
      </w:r>
    </w:p>
    <w:p w14:paraId="1E5FC59C" w14:textId="0B366E86" w:rsidR="007755EC" w:rsidRPr="004609BE" w:rsidRDefault="007755EC">
      <w:pPr>
        <w:rPr>
          <w:b/>
          <w:bCs/>
        </w:rPr>
      </w:pPr>
      <w:r w:rsidRPr="004609BE">
        <w:rPr>
          <w:b/>
          <w:bCs/>
        </w:rPr>
        <w:t xml:space="preserve">Qui peut solliciter </w:t>
      </w:r>
    </w:p>
    <w:p w14:paraId="571B137B" w14:textId="24E87CB7" w:rsidR="007755EC" w:rsidRDefault="007755EC">
      <w:r>
        <w:t>Tous les ESSMS incluant ceux financés par les départements, en excluant les activités d’aides de confort</w:t>
      </w:r>
      <w:r w:rsidR="004609BE">
        <w:t xml:space="preserve"> du champ du financement</w:t>
      </w:r>
    </w:p>
    <w:p w14:paraId="4B672622" w14:textId="635772CD" w:rsidR="004609BE" w:rsidRDefault="004609BE">
      <w:r>
        <w:t xml:space="preserve">Des restrictions s’appliquent concernant les redondances d’achat (même logiciel ou différents logiciels de DUI) ou de financement (SONS ou </w:t>
      </w:r>
      <w:r w:rsidR="00C732B6">
        <w:t>européen</w:t>
      </w:r>
      <w:r>
        <w:t>).</w:t>
      </w:r>
    </w:p>
    <w:p w14:paraId="38EA5368" w14:textId="754DA10D" w:rsidR="004609BE" w:rsidRDefault="004609BE">
      <w:r>
        <w:t>SI le porteur est un GHT : il peut équiper les ESMS d’une solution du couloir « hospitalier » sous certaines conditions (voir cahier des charges</w:t>
      </w:r>
      <w:r w:rsidR="00F720BB">
        <w:t xml:space="preserve"> CDC</w:t>
      </w:r>
      <w:r>
        <w:t>)</w:t>
      </w:r>
    </w:p>
    <w:p w14:paraId="79375E65" w14:textId="0A036404" w:rsidR="00A73C3F" w:rsidRPr="00A73C3F" w:rsidRDefault="00A73C3F">
      <w:pPr>
        <w:rPr>
          <w:b/>
          <w:bCs/>
        </w:rPr>
      </w:pPr>
      <w:r w:rsidRPr="00A73C3F">
        <w:rPr>
          <w:b/>
          <w:bCs/>
        </w:rPr>
        <w:t>Regroupement et nombre minimum d’ESMS</w:t>
      </w:r>
    </w:p>
    <w:p w14:paraId="7DA32115" w14:textId="7A73ABE1" w:rsidR="004609BE" w:rsidRDefault="00A73C3F">
      <w:r>
        <w:t>Les organismes sont appelés à regrouper les structures dans les territoires</w:t>
      </w:r>
      <w:r w:rsidR="004609BE">
        <w:t xml:space="preserve"> (idéalement </w:t>
      </w:r>
      <w:r w:rsidR="00C732B6">
        <w:t xml:space="preserve">minimum </w:t>
      </w:r>
      <w:r w:rsidR="004609BE">
        <w:t xml:space="preserve">15 structures) pour homogénéiser les solutions. Une attention sera portée à </w:t>
      </w:r>
      <w:r>
        <w:t xml:space="preserve">la maturité, à </w:t>
      </w:r>
      <w:r w:rsidR="004609BE">
        <w:t xml:space="preserve">la capacité de déploiement </w:t>
      </w:r>
      <w:r>
        <w:t>et à la pérennisation des</w:t>
      </w:r>
      <w:r w:rsidR="004609BE">
        <w:t xml:space="preserve"> regroupement</w:t>
      </w:r>
      <w:r>
        <w:t>s.</w:t>
      </w:r>
    </w:p>
    <w:p w14:paraId="2A0CC6F8" w14:textId="3E286104" w:rsidR="00F720BB" w:rsidRDefault="00F720BB">
      <w:r>
        <w:t>Un nombre inférieur est possible mais sous condition (voir CDC)</w:t>
      </w:r>
    </w:p>
    <w:p w14:paraId="2E1EA282" w14:textId="3F2D9B87" w:rsidR="00F720BB" w:rsidRDefault="00F720BB">
      <w:pPr>
        <w:rPr>
          <w:b/>
          <w:bCs/>
        </w:rPr>
      </w:pPr>
      <w:r w:rsidRPr="00F720BB">
        <w:rPr>
          <w:b/>
          <w:bCs/>
        </w:rPr>
        <w:lastRenderedPageBreak/>
        <w:t xml:space="preserve">Modalité de financement : </w:t>
      </w:r>
    </w:p>
    <w:p w14:paraId="53B469A7" w14:textId="3BCB3BA2" w:rsidR="00C732B6" w:rsidRDefault="00C732B6">
      <w:pPr>
        <w:rPr>
          <w:b/>
          <w:bCs/>
        </w:rPr>
      </w:pPr>
      <w:r>
        <w:rPr>
          <w:noProof/>
        </w:rPr>
        <w:drawing>
          <wp:inline distT="0" distB="0" distL="0" distR="0" wp14:anchorId="32476411" wp14:editId="70E27C66">
            <wp:extent cx="4809067" cy="2014417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7981" t="39185" r="17107" b="23720"/>
                    <a:stretch/>
                  </pic:blipFill>
                  <pic:spPr bwMode="auto">
                    <a:xfrm>
                      <a:off x="0" y="0"/>
                      <a:ext cx="4821022" cy="2019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BB82F3" w14:textId="7901A817" w:rsidR="00C732B6" w:rsidRDefault="00C732B6">
      <w:r w:rsidRPr="00C732B6">
        <w:t xml:space="preserve">Le financement des petites structures (&gt; 8 : Corse, DOMTOM ou &gt; 15 pour la métropole) sont de 20KE par </w:t>
      </w:r>
      <w:r w:rsidR="005201F3" w:rsidRPr="00C732B6">
        <w:t>établissement (</w:t>
      </w:r>
      <w:r w:rsidRPr="00C732B6">
        <w:t>matériel) ou 100KE pour une prestation d’assistance à maitrise d’ouvrage</w:t>
      </w:r>
    </w:p>
    <w:p w14:paraId="26AC0C3E" w14:textId="315E5E7F" w:rsidR="00C732B6" w:rsidRDefault="00C732B6"/>
    <w:p w14:paraId="0C5BFBEA" w14:textId="3ABEA7A4" w:rsidR="00C732B6" w:rsidRDefault="00C732B6">
      <w:r>
        <w:t>Versement en deux temps 50/50 en début et fin de projet : le versement en fin de projet est lié à l’atteinte des cibles d’usage de la solution déployée.</w:t>
      </w:r>
    </w:p>
    <w:p w14:paraId="3DCCA9A8" w14:textId="6B4A0FEA" w:rsidR="003262B9" w:rsidRDefault="003262B9">
      <w:r>
        <w:tab/>
        <w:t>Cible d’usage</w:t>
      </w:r>
      <w:r w:rsidR="00251901">
        <w:t xml:space="preserve"> obligatoire à 70%</w:t>
      </w:r>
      <w:r>
        <w:t> : taux d’utilisation de MS Santé</w:t>
      </w:r>
      <w:r w:rsidR="00251901">
        <w:t>, taux d’utilisation du DMP</w:t>
      </w:r>
    </w:p>
    <w:p w14:paraId="135186FC" w14:textId="38A8B1ED" w:rsidR="00251901" w:rsidRDefault="00251901" w:rsidP="00251901">
      <w:pPr>
        <w:ind w:left="708"/>
      </w:pPr>
      <w:r>
        <w:t>Cible facultative : nombre de données échangées entre DUI avec un outil de prescription ou avec une plateforme de e-parcours.</w:t>
      </w:r>
    </w:p>
    <w:p w14:paraId="7998C643" w14:textId="689E3565" w:rsidR="00C732B6" w:rsidRPr="003262B9" w:rsidRDefault="00C732B6">
      <w:pPr>
        <w:rPr>
          <w:b/>
          <w:bCs/>
        </w:rPr>
      </w:pPr>
      <w:r w:rsidRPr="003262B9">
        <w:rPr>
          <w:b/>
          <w:bCs/>
        </w:rPr>
        <w:t>Calendrier :</w:t>
      </w:r>
    </w:p>
    <w:p w14:paraId="187340E8" w14:textId="1E6DFD59" w:rsidR="00C732B6" w:rsidRDefault="00C732B6">
      <w:r>
        <w:t>Deux vagues de dépôt : du 06/02 au 15/06/2023 et du 15/06 au 15/09/2023</w:t>
      </w:r>
    </w:p>
    <w:p w14:paraId="7C9D138C" w14:textId="15DE668F" w:rsidR="00C732B6" w:rsidRDefault="00C732B6">
      <w:r>
        <w:t xml:space="preserve">Les projets multirégionaux sont possibles mais le dépôt est </w:t>
      </w:r>
      <w:r w:rsidR="00485E38">
        <w:t>jusqu’au</w:t>
      </w:r>
      <w:r>
        <w:t xml:space="preserve"> 15/06/2023</w:t>
      </w:r>
    </w:p>
    <w:p w14:paraId="74F811FE" w14:textId="6BD73F92" w:rsidR="00C732B6" w:rsidRDefault="00C732B6"/>
    <w:p w14:paraId="41EF7C01" w14:textId="77777777" w:rsidR="00896185" w:rsidRPr="00485E38" w:rsidRDefault="00C732B6">
      <w:pPr>
        <w:rPr>
          <w:b/>
          <w:bCs/>
        </w:rPr>
      </w:pPr>
      <w:r w:rsidRPr="00485E38">
        <w:rPr>
          <w:b/>
          <w:bCs/>
        </w:rPr>
        <w:t xml:space="preserve">Dépôt auprès du site de la CNSA : </w:t>
      </w:r>
    </w:p>
    <w:p w14:paraId="3BAEBF72" w14:textId="22174A90" w:rsidR="00C732B6" w:rsidRDefault="00000000">
      <w:hyperlink r:id="rId8" w:anchor="/cnsa/connecte/F_PAI_numerique/depot/simple" w:history="1">
        <w:r w:rsidR="00896185" w:rsidRPr="00327742">
          <w:rPr>
            <w:rStyle w:val="Lienhypertexte"/>
          </w:rPr>
          <w:t>https://galis-subventions.cnsa.fr/aides/#/cnsa/connecte/F_PAI_numerique/depot/simple</w:t>
        </w:r>
      </w:hyperlink>
    </w:p>
    <w:p w14:paraId="76B21DEB" w14:textId="77777777" w:rsidR="00896185" w:rsidRPr="00C732B6" w:rsidRDefault="00896185"/>
    <w:sectPr w:rsidR="00896185" w:rsidRPr="00C732B6" w:rsidSect="00485E38">
      <w:head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63650" w14:textId="77777777" w:rsidR="00491F0D" w:rsidRDefault="00491F0D" w:rsidP="00251901">
      <w:pPr>
        <w:spacing w:after="0" w:line="240" w:lineRule="auto"/>
      </w:pPr>
      <w:r>
        <w:separator/>
      </w:r>
    </w:p>
  </w:endnote>
  <w:endnote w:type="continuationSeparator" w:id="0">
    <w:p w14:paraId="10A348FD" w14:textId="77777777" w:rsidR="00491F0D" w:rsidRDefault="00491F0D" w:rsidP="0025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3CE3" w14:textId="77777777" w:rsidR="00491F0D" w:rsidRDefault="00491F0D" w:rsidP="00251901">
      <w:pPr>
        <w:spacing w:after="0" w:line="240" w:lineRule="auto"/>
      </w:pPr>
      <w:r>
        <w:separator/>
      </w:r>
    </w:p>
  </w:footnote>
  <w:footnote w:type="continuationSeparator" w:id="0">
    <w:p w14:paraId="1B364C66" w14:textId="77777777" w:rsidR="00491F0D" w:rsidRDefault="00491F0D" w:rsidP="0025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76F1" w14:textId="00A52DC7" w:rsidR="00251901" w:rsidRDefault="00251901" w:rsidP="00485E38">
    <w:pPr>
      <w:pStyle w:val="En-tte"/>
      <w:jc w:val="center"/>
    </w:pPr>
    <w:r w:rsidRPr="00251901">
      <w:rPr>
        <w:noProof/>
      </w:rPr>
      <w:drawing>
        <wp:inline distT="0" distB="0" distL="0" distR="0" wp14:anchorId="152A10BB" wp14:editId="5ED1F3DF">
          <wp:extent cx="637399" cy="371269"/>
          <wp:effectExtent l="0" t="0" r="0" b="0"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033" cy="376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51901">
      <w:rPr>
        <w:noProof/>
      </w:rPr>
      <w:drawing>
        <wp:inline distT="0" distB="0" distL="0" distR="0" wp14:anchorId="778D055A" wp14:editId="237AD907">
          <wp:extent cx="390525" cy="390525"/>
          <wp:effectExtent l="0" t="0" r="9525" b="9525"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052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5E38" w:rsidRPr="00485E38">
      <w:rPr>
        <w:noProof/>
      </w:rPr>
      <w:drawing>
        <wp:inline distT="0" distB="0" distL="0" distR="0" wp14:anchorId="0D1CA79A" wp14:editId="16B85952">
          <wp:extent cx="1550177" cy="415290"/>
          <wp:effectExtent l="0" t="0" r="0" b="3810"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7061" cy="425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5887"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BA9"/>
    <w:multiLevelType w:val="multilevel"/>
    <w:tmpl w:val="A81A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3AA8"/>
    <w:multiLevelType w:val="hybridMultilevel"/>
    <w:tmpl w:val="E6DC2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803551">
    <w:abstractNumId w:val="0"/>
  </w:num>
  <w:num w:numId="2" w16cid:durableId="1206870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69"/>
    <w:rsid w:val="00090922"/>
    <w:rsid w:val="00175887"/>
    <w:rsid w:val="002078A5"/>
    <w:rsid w:val="00251901"/>
    <w:rsid w:val="003262B9"/>
    <w:rsid w:val="003B7969"/>
    <w:rsid w:val="004609BE"/>
    <w:rsid w:val="00485E38"/>
    <w:rsid w:val="00491F0D"/>
    <w:rsid w:val="005201F3"/>
    <w:rsid w:val="007755EC"/>
    <w:rsid w:val="007C570C"/>
    <w:rsid w:val="007E0198"/>
    <w:rsid w:val="00896185"/>
    <w:rsid w:val="00A73C3F"/>
    <w:rsid w:val="00AA6FCD"/>
    <w:rsid w:val="00C732B6"/>
    <w:rsid w:val="00F66C18"/>
    <w:rsid w:val="00F7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57D8"/>
  <w15:chartTrackingRefBased/>
  <w15:docId w15:val="{FB16798F-5D39-4EDD-AC86-19F42ACD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nsa-listepuces1">
    <w:name w:val="cnsa-listepuces1"/>
    <w:basedOn w:val="Normal"/>
    <w:rsid w:val="003B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01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61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618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96185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51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1901"/>
  </w:style>
  <w:style w:type="paragraph" w:styleId="Pieddepage">
    <w:name w:val="footer"/>
    <w:basedOn w:val="Normal"/>
    <w:link w:val="PieddepageCar"/>
    <w:uiPriority w:val="99"/>
    <w:unhideWhenUsed/>
    <w:rsid w:val="00251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1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is-subventions.cnsa.fr/aid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Maximilien VANLEENE</dc:creator>
  <cp:keywords/>
  <dc:description/>
  <cp:lastModifiedBy>Cécile DEPAEPE</cp:lastModifiedBy>
  <cp:revision>10</cp:revision>
  <dcterms:created xsi:type="dcterms:W3CDTF">2023-03-02T10:57:00Z</dcterms:created>
  <dcterms:modified xsi:type="dcterms:W3CDTF">2023-03-02T15:01:00Z</dcterms:modified>
</cp:coreProperties>
</file>