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0133" w14:textId="5C760260" w:rsidR="000C3A78" w:rsidRDefault="000C3A78" w:rsidP="00ED3090">
      <w:pPr>
        <w:pStyle w:val="Titre1"/>
        <w:shd w:val="clear" w:color="auto" w:fill="FFFFFF"/>
        <w:spacing w:before="0" w:after="300" w:line="510" w:lineRule="atLeast"/>
        <w:jc w:val="center"/>
        <w:rPr>
          <w:rFonts w:ascii="IBM Plex Sans" w:hAnsi="IBM Plex Sans"/>
          <w:b/>
          <w:bCs/>
          <w:color w:val="071A39"/>
          <w:sz w:val="42"/>
          <w:szCs w:val="42"/>
        </w:rPr>
      </w:pPr>
      <w:r>
        <w:rPr>
          <w:b/>
          <w:bCs/>
          <w:color w:val="000091"/>
        </w:rPr>
        <w:t>Stratégie d’accélération en intelligence artificielle</w:t>
      </w:r>
    </w:p>
    <w:p w14:paraId="6801F130" w14:textId="3DD417D4" w:rsidR="00ED3090" w:rsidRDefault="00ED3090" w:rsidP="00ED3090">
      <w:pPr>
        <w:pStyle w:val="Titre1"/>
        <w:shd w:val="clear" w:color="auto" w:fill="FFFFFF"/>
        <w:spacing w:before="0" w:after="300" w:line="510" w:lineRule="atLeast"/>
        <w:jc w:val="center"/>
        <w:rPr>
          <w:rFonts w:ascii="IBM Plex Sans" w:hAnsi="IBM Plex Sans"/>
          <w:color w:val="071A39"/>
          <w:sz w:val="42"/>
          <w:szCs w:val="42"/>
        </w:rPr>
      </w:pPr>
      <w:r>
        <w:rPr>
          <w:rFonts w:ascii="IBM Plex Sans" w:hAnsi="IBM Plex Sans"/>
          <w:b/>
          <w:bCs/>
          <w:color w:val="071A39"/>
          <w:sz w:val="42"/>
          <w:szCs w:val="42"/>
        </w:rPr>
        <w:t>AAP : Communs numériques pour l’intelligence artificielle générative</w:t>
      </w:r>
    </w:p>
    <w:p w14:paraId="187F71B2" w14:textId="0C7CF670" w:rsidR="000913AF" w:rsidRDefault="00BF45BB" w:rsidP="00BF45BB">
      <w:pPr>
        <w:jc w:val="center"/>
      </w:pPr>
      <w:r>
        <w:t xml:space="preserve"> </w:t>
      </w:r>
      <w:r>
        <w:rPr>
          <w:noProof/>
        </w:rPr>
        <w:drawing>
          <wp:inline distT="0" distB="0" distL="0" distR="0" wp14:anchorId="75041D41" wp14:editId="39E33595">
            <wp:extent cx="563504" cy="553643"/>
            <wp:effectExtent l="0" t="0" r="8255" b="0"/>
            <wp:docPr id="3" name="Image 3" descr="Une image contenant cercle, logo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ercle, logo, Graphi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00" cy="56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A081" w14:textId="1E053287" w:rsidR="000864D5" w:rsidRDefault="00F00CA1" w:rsidP="00880B81">
      <w:pPr>
        <w:spacing w:after="120"/>
        <w:jc w:val="center"/>
        <w:rPr>
          <w:b/>
          <w:bCs/>
        </w:rPr>
      </w:pPr>
      <w:r w:rsidRPr="00270CF3">
        <w:rPr>
          <w:b/>
          <w:bCs/>
        </w:rPr>
        <w:t xml:space="preserve">Ouvert jusqu’au </w:t>
      </w:r>
      <w:r w:rsidR="00ED3090">
        <w:rPr>
          <w:b/>
          <w:bCs/>
        </w:rPr>
        <w:t>24 octobre 2023 - 12h00</w:t>
      </w:r>
    </w:p>
    <w:p w14:paraId="64797E77" w14:textId="2A38C8C6" w:rsidR="004F6C7B" w:rsidRDefault="000C3043" w:rsidP="008D6D51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B16CB7">
        <w:rPr>
          <w:rFonts w:asciiTheme="minorHAnsi" w:hAnsiTheme="minorHAnsi" w:cstheme="minorHAnsi"/>
          <w:b/>
          <w:bCs/>
        </w:rPr>
        <w:t>Présentation du dispositif</w:t>
      </w:r>
    </w:p>
    <w:p w14:paraId="73B44406" w14:textId="5752CEF9" w:rsidR="004F6C7B" w:rsidRPr="000C1745" w:rsidRDefault="004F6C7B" w:rsidP="00527EAD">
      <w:pPr>
        <w:pStyle w:val="Titre2"/>
        <w:spacing w:before="0" w:after="120" w:line="24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</w:pP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L’accélération récente de l’usage des IA génératives </w:t>
      </w:r>
      <w:r w:rsidR="005C04C0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ouvre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de nouvelles perspectives de progrès économiques et sociaux d’où l’ajout d’un quatrième axe « </w:t>
      </w:r>
      <w:r w:rsidR="00F728DB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IA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générative</w:t>
      </w:r>
      <w:r w:rsidR="005C04C0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 »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à la stratégie d’accélération IA</w:t>
      </w:r>
      <w:r w:rsidR="000C1745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du gouvernement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.</w:t>
      </w:r>
    </w:p>
    <w:p w14:paraId="2F951998" w14:textId="283F6B4D" w:rsidR="00CE18BB" w:rsidRPr="000C1745" w:rsidRDefault="004F6C7B" w:rsidP="00527EAD">
      <w:pPr>
        <w:pStyle w:val="Titre2"/>
        <w:spacing w:before="0" w:after="120" w:line="24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</w:pP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Une IA est dite générative</w:t>
      </w:r>
      <w:r w:rsidR="005C04C0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, </w:t>
      </w:r>
      <w:r w:rsidR="000C1745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entrainées sur de larges bases de données</w:t>
      </w:r>
      <w:r w:rsid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, 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est capable de générer automatiquement du contenu de différents types</w:t>
      </w:r>
      <w:r w:rsid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(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texte, image, son, </w:t>
      </w:r>
      <w:r w:rsid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vidéo 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etc.) </w:t>
      </w:r>
      <w:r w:rsid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voire </w:t>
      </w:r>
      <w:r w:rsidR="00B856BD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permettre</w:t>
      </w:r>
      <w:r w:rsid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la reconnaissance 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à partir de requêtes en langage naturel ou programmatique.</w:t>
      </w:r>
    </w:p>
    <w:p w14:paraId="5746D0CD" w14:textId="481F1A67" w:rsidR="00CE18BB" w:rsidRPr="000C1745" w:rsidRDefault="00CE18BB" w:rsidP="00527EAD">
      <w:pPr>
        <w:pStyle w:val="Titre2"/>
        <w:spacing w:before="0" w:after="120" w:line="240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</w:pP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Si ce</w:t>
      </w:r>
      <w:r w:rsidR="00527EAD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s 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algorithme</w:t>
      </w:r>
      <w:r w:rsidR="00527EAD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s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sont </w:t>
      </w:r>
      <w:r w:rsidR="005C04C0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bien 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connus des scientifiques</w:t>
      </w:r>
      <w:r w:rsidR="00527EAD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de l’IA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>, la démocratisation de</w:t>
      </w:r>
      <w:r w:rsidR="00527EAD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l’accès à</w:t>
      </w:r>
      <w:r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 ce type d’outil reste </w:t>
      </w:r>
      <w:r w:rsidR="00527EAD" w:rsidRPr="000C1745">
        <w:rPr>
          <w:rFonts w:asciiTheme="minorHAnsi" w:eastAsia="Times New Roman" w:hAnsiTheme="minorHAnsi" w:cstheme="minorHAnsi"/>
          <w:color w:val="auto"/>
          <w:sz w:val="22"/>
          <w:szCs w:val="22"/>
          <w:lang w:eastAsia="fr-FR"/>
        </w:rPr>
        <w:t xml:space="preserve">récente </w:t>
      </w:r>
    </w:p>
    <w:p w14:paraId="34B0B120" w14:textId="39DB5A64" w:rsidR="005C04C0" w:rsidRPr="000C1745" w:rsidRDefault="00574BC2" w:rsidP="005C04C0">
      <w:pPr>
        <w:rPr>
          <w:lang w:eastAsia="fr-FR"/>
        </w:rPr>
      </w:pPr>
      <w:r w:rsidRPr="000C1745">
        <w:rPr>
          <w:lang w:eastAsia="fr-FR"/>
        </w:rPr>
        <w:t>Actuellement, l’IA générative se base sur le</w:t>
      </w:r>
      <w:r w:rsidR="000C1745">
        <w:rPr>
          <w:lang w:eastAsia="fr-FR"/>
        </w:rPr>
        <w:t>s</w:t>
      </w:r>
      <w:r w:rsidR="005C04C0" w:rsidRPr="000C1745">
        <w:rPr>
          <w:lang w:eastAsia="fr-FR"/>
        </w:rPr>
        <w:t xml:space="preserve"> </w:t>
      </w:r>
      <w:r w:rsidR="000C1745">
        <w:rPr>
          <w:lang w:eastAsia="fr-FR"/>
        </w:rPr>
        <w:t xml:space="preserve">« </w:t>
      </w:r>
      <w:r w:rsidR="000C1745" w:rsidRPr="000C1745">
        <w:rPr>
          <w:b/>
          <w:bCs/>
          <w:lang w:eastAsia="fr-FR"/>
        </w:rPr>
        <w:t>modèle</w:t>
      </w:r>
      <w:r w:rsidR="000C1745">
        <w:rPr>
          <w:b/>
          <w:bCs/>
          <w:lang w:eastAsia="fr-FR"/>
        </w:rPr>
        <w:t>s</w:t>
      </w:r>
      <w:r w:rsidR="000C1745" w:rsidRPr="000C1745">
        <w:rPr>
          <w:b/>
          <w:bCs/>
          <w:lang w:eastAsia="fr-FR"/>
        </w:rPr>
        <w:t xml:space="preserve"> de</w:t>
      </w:r>
      <w:r w:rsidR="000C1745">
        <w:rPr>
          <w:b/>
          <w:bCs/>
          <w:lang w:eastAsia="fr-FR"/>
        </w:rPr>
        <w:t xml:space="preserve"> </w:t>
      </w:r>
      <w:r w:rsidR="005C04C0" w:rsidRPr="000C1745">
        <w:rPr>
          <w:b/>
          <w:bCs/>
          <w:lang w:eastAsia="fr-FR"/>
        </w:rPr>
        <w:t>fondation</w:t>
      </w:r>
      <w:r w:rsidR="000C1745">
        <w:rPr>
          <w:lang w:eastAsia="fr-FR"/>
        </w:rPr>
        <w:t xml:space="preserve"> </w:t>
      </w:r>
      <w:r w:rsidR="005C04C0" w:rsidRPr="000C1745">
        <w:rPr>
          <w:lang w:eastAsia="fr-FR"/>
        </w:rPr>
        <w:t>»</w:t>
      </w:r>
      <w:r w:rsidRPr="000C1745">
        <w:rPr>
          <w:lang w:eastAsia="fr-FR"/>
        </w:rPr>
        <w:t xml:space="preserve">, </w:t>
      </w:r>
      <w:r w:rsidR="005C04C0" w:rsidRPr="000C1745">
        <w:rPr>
          <w:lang w:eastAsia="fr-FR"/>
        </w:rPr>
        <w:t xml:space="preserve">modèle </w:t>
      </w:r>
      <w:r w:rsidRPr="000C1745">
        <w:rPr>
          <w:lang w:eastAsia="fr-FR"/>
        </w:rPr>
        <w:t>d’</w:t>
      </w:r>
      <w:r w:rsidR="005C04C0" w:rsidRPr="000C1745">
        <w:rPr>
          <w:lang w:eastAsia="fr-FR"/>
        </w:rPr>
        <w:t>IA pré-entrainé</w:t>
      </w:r>
      <w:r w:rsidR="000C1745">
        <w:rPr>
          <w:lang w:eastAsia="fr-FR"/>
        </w:rPr>
        <w:t>e</w:t>
      </w:r>
      <w:r w:rsidRPr="000C1745">
        <w:rPr>
          <w:lang w:eastAsia="fr-FR"/>
        </w:rPr>
        <w:t xml:space="preserve"> sur de grandes bases de donnée</w:t>
      </w:r>
      <w:r w:rsidR="000C1745">
        <w:rPr>
          <w:lang w:eastAsia="fr-FR"/>
        </w:rPr>
        <w:t>s</w:t>
      </w:r>
      <w:r w:rsidR="005C04C0" w:rsidRPr="000C1745">
        <w:rPr>
          <w:lang w:eastAsia="fr-FR"/>
        </w:rPr>
        <w:t xml:space="preserve"> pouvant ensuite être réglé pour une tâche ou domaine spécifique sur des données plus ciblés</w:t>
      </w:r>
      <w:r w:rsidRPr="000C1745">
        <w:rPr>
          <w:lang w:eastAsia="fr-FR"/>
        </w:rPr>
        <w:t xml:space="preserve">. Si ce modèle permet un déploiement rapide de l’IA générative, elle est </w:t>
      </w:r>
      <w:r w:rsidR="000C1745">
        <w:rPr>
          <w:lang w:eastAsia="fr-FR"/>
        </w:rPr>
        <w:t xml:space="preserve">dépendante </w:t>
      </w:r>
      <w:r w:rsidRPr="000C1745">
        <w:rPr>
          <w:lang w:eastAsia="fr-FR"/>
        </w:rPr>
        <w:t xml:space="preserve">vis-à-vis de </w:t>
      </w:r>
      <w:r w:rsidR="000C1745">
        <w:rPr>
          <w:lang w:eastAsia="fr-FR"/>
        </w:rPr>
        <w:t>ces modèles de</w:t>
      </w:r>
      <w:r w:rsidRPr="000C1745">
        <w:rPr>
          <w:lang w:eastAsia="fr-FR"/>
        </w:rPr>
        <w:t xml:space="preserve"> fondation et peut bénéficier ou pâtir de tout amélioration ou biais de celle-ci.</w:t>
      </w:r>
    </w:p>
    <w:p w14:paraId="3E1D7276" w14:textId="7AB8E83D" w:rsidR="00574BC2" w:rsidRDefault="00574BC2" w:rsidP="005C04C0">
      <w:pPr>
        <w:rPr>
          <w:lang w:eastAsia="fr-FR"/>
        </w:rPr>
      </w:pPr>
      <w:r w:rsidRPr="000C1745">
        <w:rPr>
          <w:lang w:eastAsia="fr-FR"/>
        </w:rPr>
        <w:t xml:space="preserve">Il est donc utile pour le France </w:t>
      </w:r>
      <w:r w:rsidR="007D0B22">
        <w:rPr>
          <w:lang w:eastAsia="fr-FR"/>
        </w:rPr>
        <w:t>et</w:t>
      </w:r>
      <w:r w:rsidRPr="000C1745">
        <w:rPr>
          <w:lang w:eastAsia="fr-FR"/>
        </w:rPr>
        <w:t xml:space="preserve"> l’Europe de pouvoir </w:t>
      </w:r>
      <w:r w:rsidR="00F728DB">
        <w:rPr>
          <w:lang w:eastAsia="fr-FR"/>
        </w:rPr>
        <w:t xml:space="preserve">développer et </w:t>
      </w:r>
      <w:r w:rsidRPr="000C1745">
        <w:rPr>
          <w:lang w:eastAsia="fr-FR"/>
        </w:rPr>
        <w:t>contrôler tou</w:t>
      </w:r>
      <w:r w:rsidR="000C1745">
        <w:rPr>
          <w:lang w:eastAsia="fr-FR"/>
        </w:rPr>
        <w:t>t</w:t>
      </w:r>
      <w:r w:rsidRPr="000C1745">
        <w:rPr>
          <w:lang w:eastAsia="fr-FR"/>
        </w:rPr>
        <w:t>e la chaine de valeur de l’IA générative</w:t>
      </w:r>
      <w:r w:rsidR="000C1745">
        <w:rPr>
          <w:lang w:eastAsia="fr-FR"/>
        </w:rPr>
        <w:t xml:space="preserve"> : </w:t>
      </w:r>
      <w:r w:rsidR="00F728DB">
        <w:rPr>
          <w:lang w:eastAsia="fr-FR"/>
        </w:rPr>
        <w:t>d</w:t>
      </w:r>
      <w:r w:rsidR="000C1745">
        <w:rPr>
          <w:lang w:eastAsia="fr-FR"/>
        </w:rPr>
        <w:t>onnées d’apprentissage, modèle de fondation, production de modèles applicatifs, intégration des IA dans de systèmes</w:t>
      </w:r>
      <w:r w:rsidR="00F728DB">
        <w:rPr>
          <w:lang w:eastAsia="fr-FR"/>
        </w:rPr>
        <w:t xml:space="preserve"> </w:t>
      </w:r>
      <w:r w:rsidR="000C1745">
        <w:rPr>
          <w:lang w:eastAsia="fr-FR"/>
        </w:rPr>
        <w:t xml:space="preserve">plus larges, plateformes d’accès et de service IA, co-développement d’outils génératifs, </w:t>
      </w:r>
      <w:r w:rsidR="00F728DB">
        <w:rPr>
          <w:lang w:eastAsia="fr-FR"/>
        </w:rPr>
        <w:t>capacité de calculs et de stockage des données…</w:t>
      </w:r>
    </w:p>
    <w:p w14:paraId="6D1198B0" w14:textId="0B659D4A" w:rsidR="00F728DB" w:rsidRPr="000C1745" w:rsidRDefault="00F728DB" w:rsidP="005C04C0">
      <w:pPr>
        <w:rPr>
          <w:lang w:eastAsia="fr-FR"/>
        </w:rPr>
      </w:pPr>
      <w:r>
        <w:rPr>
          <w:lang w:eastAsia="fr-FR"/>
        </w:rPr>
        <w:t>L’objet de cet AAP est de pouvoir constituer un tel écosystème en France en favorisant la constitution de « communs numérique pour l’IA Générative » et l’émergence des meilleurs cas d’usage cadrant avec les objectifs de France 2030.</w:t>
      </w:r>
    </w:p>
    <w:p w14:paraId="2C4E738A" w14:textId="7AD67ACE" w:rsidR="009E23D5" w:rsidRDefault="009E1047" w:rsidP="009E1047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Objectifs</w:t>
      </w:r>
    </w:p>
    <w:p w14:paraId="058C8A9A" w14:textId="33CA6354" w:rsidR="00CE6DE9" w:rsidRDefault="002C4B97" w:rsidP="009E1047">
      <w:pPr>
        <w:spacing w:after="0" w:line="240" w:lineRule="auto"/>
      </w:pPr>
      <w:r>
        <w:t xml:space="preserve">Projets collaboratifs </w:t>
      </w:r>
      <w:r w:rsidRPr="009E1047">
        <w:rPr>
          <w:b/>
          <w:bCs/>
        </w:rPr>
        <w:t>à double ambition</w:t>
      </w:r>
      <w:r w:rsidR="009E1047">
        <w:t>s</w:t>
      </w:r>
      <w:r>
        <w:t> :</w:t>
      </w:r>
    </w:p>
    <w:p w14:paraId="3A7B0610" w14:textId="7025DEA8" w:rsidR="002C4B97" w:rsidRDefault="002C4B97" w:rsidP="009E1047">
      <w:pPr>
        <w:pStyle w:val="Paragraphedeliste"/>
        <w:numPr>
          <w:ilvl w:val="0"/>
          <w:numId w:val="25"/>
        </w:numPr>
      </w:pPr>
      <w:r>
        <w:t>Création et mise en accessibilité de « communs » numériques sur</w:t>
      </w:r>
      <w:r w:rsidR="009E1047">
        <w:t xml:space="preserve"> tout ou partie de</w:t>
      </w:r>
      <w:r>
        <w:t xml:space="preserve"> la chaine de valeur « IA </w:t>
      </w:r>
      <w:r w:rsidR="009E1047">
        <w:t>générative</w:t>
      </w:r>
      <w:r>
        <w:t> »</w:t>
      </w:r>
      <w:r w:rsidR="009E1047">
        <w:t xml:space="preserve"> (briques en accès libre</w:t>
      </w:r>
      <w:r w:rsidR="00B856BD">
        <w:t>) ;</w:t>
      </w:r>
    </w:p>
    <w:p w14:paraId="1E0B80E6" w14:textId="18F97A52" w:rsidR="002C4B97" w:rsidRDefault="002C4B97" w:rsidP="009E1047">
      <w:pPr>
        <w:pStyle w:val="Paragraphedeliste"/>
        <w:numPr>
          <w:ilvl w:val="0"/>
          <w:numId w:val="25"/>
        </w:numPr>
      </w:pPr>
      <w:r>
        <w:t xml:space="preserve">Utilisation du ou des </w:t>
      </w:r>
      <w:r w:rsidR="009E1047">
        <w:t>communs</w:t>
      </w:r>
      <w:r>
        <w:t xml:space="preserve"> numériques pour développer des </w:t>
      </w:r>
      <w:r w:rsidR="009E1047">
        <w:t>produits</w:t>
      </w:r>
      <w:r>
        <w:t xml:space="preserve"> ou services innovants</w:t>
      </w:r>
    </w:p>
    <w:p w14:paraId="13CC0E60" w14:textId="769AC307" w:rsidR="009E1047" w:rsidRDefault="009E1047" w:rsidP="009E1047">
      <w:pPr>
        <w:rPr>
          <w:b/>
          <w:bCs/>
        </w:rPr>
      </w:pPr>
      <w:r w:rsidRPr="009E1047">
        <w:rPr>
          <w:b/>
          <w:bCs/>
        </w:rPr>
        <w:t>« </w:t>
      </w:r>
      <w:r>
        <w:rPr>
          <w:b/>
          <w:bCs/>
        </w:rPr>
        <w:t>C</w:t>
      </w:r>
      <w:r w:rsidRPr="009E1047">
        <w:rPr>
          <w:b/>
          <w:bCs/>
        </w:rPr>
        <w:t>ommun numérique » : ressources dématérialisées produites/entretenues collectivement et de caractère collectif et partagé (ressources non rivales et non-exclusives) : bases de données, giga modèles génératifs pré-entrainé</w:t>
      </w:r>
      <w:r>
        <w:rPr>
          <w:b/>
          <w:bCs/>
        </w:rPr>
        <w:t>s</w:t>
      </w:r>
      <w:r w:rsidRPr="009E1047">
        <w:rPr>
          <w:b/>
          <w:bCs/>
        </w:rPr>
        <w:t>, adaptation à des cas spécifiques, interface d’utilisation des</w:t>
      </w:r>
      <w:r>
        <w:rPr>
          <w:b/>
          <w:bCs/>
        </w:rPr>
        <w:t xml:space="preserve"> </w:t>
      </w:r>
      <w:r w:rsidRPr="009E1047">
        <w:rPr>
          <w:b/>
          <w:bCs/>
        </w:rPr>
        <w:t>modèle</w:t>
      </w:r>
      <w:r>
        <w:rPr>
          <w:b/>
          <w:bCs/>
        </w:rPr>
        <w:t>s</w:t>
      </w:r>
      <w:r w:rsidRPr="009E1047">
        <w:rPr>
          <w:b/>
          <w:bCs/>
        </w:rPr>
        <w:t>, outils d’évaluation…</w:t>
      </w:r>
    </w:p>
    <w:p w14:paraId="715BDAA0" w14:textId="0973C3ED" w:rsidR="009E1047" w:rsidRPr="00737FCF" w:rsidRDefault="009E1047" w:rsidP="00737FCF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737FCF">
        <w:rPr>
          <w:rFonts w:asciiTheme="minorHAnsi" w:hAnsiTheme="minorHAnsi" w:cstheme="minorHAnsi"/>
          <w:b/>
          <w:bCs/>
        </w:rPr>
        <w:t>Projets attendus</w:t>
      </w:r>
    </w:p>
    <w:p w14:paraId="031395EF" w14:textId="09074056" w:rsidR="009E1047" w:rsidRDefault="009E1047" w:rsidP="009E1047">
      <w:r w:rsidRPr="00737FCF">
        <w:t>Projets orienté</w:t>
      </w:r>
      <w:r w:rsidR="00737FCF" w:rsidRPr="00737FCF">
        <w:t>s</w:t>
      </w:r>
      <w:r w:rsidRPr="00737FCF">
        <w:t xml:space="preserve"> vers la </w:t>
      </w:r>
      <w:r w:rsidR="00737FCF" w:rsidRPr="00737FCF">
        <w:t>démonstration</w:t>
      </w:r>
      <w:r w:rsidRPr="00737FCF">
        <w:t xml:space="preserve"> d’un besoin clairement défini</w:t>
      </w:r>
      <w:r w:rsidR="00737FCF" w:rsidRPr="00737FCF">
        <w:t xml:space="preserve"> et permettant de renforcer la position des acteurs d’un marché existant ou d’ouvrir de nvx marché</w:t>
      </w:r>
      <w:r w:rsidR="00737FCF">
        <w:t xml:space="preserve"> (en particulier liés aux objectifs France 2030)</w:t>
      </w:r>
    </w:p>
    <w:p w14:paraId="645BC58D" w14:textId="3A47D60A" w:rsidR="001D74F9" w:rsidRDefault="001D74F9" w:rsidP="009E1047">
      <w:r>
        <w:lastRenderedPageBreak/>
        <w:t>L’AAP vise à soutenir : (voir détail</w:t>
      </w:r>
      <w:r w:rsidR="00880B81">
        <w:t>s</w:t>
      </w:r>
      <w:r>
        <w:t xml:space="preserve"> dans le CDC</w:t>
      </w:r>
      <w:r w:rsidR="00181FB4">
        <w:t xml:space="preserve"> particulièrement les bases de données</w:t>
      </w:r>
      <w:r>
        <w:t>)</w:t>
      </w:r>
    </w:p>
    <w:p w14:paraId="701F28B8" w14:textId="291A98A8" w:rsidR="00737FCF" w:rsidRDefault="00737FCF" w:rsidP="001D74F9">
      <w:pPr>
        <w:pStyle w:val="Paragraphedeliste"/>
        <w:numPr>
          <w:ilvl w:val="0"/>
          <w:numId w:val="26"/>
        </w:numPr>
      </w:pPr>
      <w:r>
        <w:t xml:space="preserve">Bases de données accessibles ou ouvertes valorisant le patrimoine </w:t>
      </w:r>
      <w:r w:rsidR="00880B81">
        <w:t>français,</w:t>
      </w:r>
      <w:r>
        <w:t xml:space="preserve"> francophone et européen</w:t>
      </w:r>
      <w:r w:rsidR="001D74F9">
        <w:t> ;</w:t>
      </w:r>
    </w:p>
    <w:p w14:paraId="67E4FA81" w14:textId="209B5D51" w:rsidR="00737FCF" w:rsidRDefault="00737FCF" w:rsidP="001D74F9">
      <w:pPr>
        <w:pStyle w:val="Paragraphedeliste"/>
        <w:numPr>
          <w:ilvl w:val="0"/>
          <w:numId w:val="26"/>
        </w:numPr>
      </w:pPr>
      <w:r>
        <w:t xml:space="preserve">Giga modèle génératifs pré-entrainés présentant </w:t>
      </w:r>
      <w:r w:rsidR="001D74F9">
        <w:t>une</w:t>
      </w:r>
      <w:r>
        <w:t xml:space="preserve"> plus</w:t>
      </w:r>
      <w:r w:rsidR="001D74F9">
        <w:t>-</w:t>
      </w:r>
      <w:r>
        <w:t xml:space="preserve">value </w:t>
      </w:r>
      <w:r w:rsidR="001D74F9">
        <w:t>v</w:t>
      </w:r>
      <w:r>
        <w:t>is-à-vis de l’existant</w:t>
      </w:r>
      <w:r w:rsidR="001D74F9">
        <w:t> ;</w:t>
      </w:r>
    </w:p>
    <w:p w14:paraId="73C4503D" w14:textId="75F8FC8C" w:rsidR="00737FCF" w:rsidRDefault="00737FCF" w:rsidP="001D74F9">
      <w:pPr>
        <w:pStyle w:val="Paragraphedeliste"/>
        <w:numPr>
          <w:ilvl w:val="0"/>
          <w:numId w:val="26"/>
        </w:numPr>
      </w:pPr>
      <w:r>
        <w:t xml:space="preserve">Giga modèle adaptés à des cas d’usage métier </w:t>
      </w:r>
      <w:r w:rsidR="001D74F9">
        <w:t>spécifique</w:t>
      </w:r>
      <w:r>
        <w:t xml:space="preserve"> </w:t>
      </w:r>
      <w:r w:rsidR="001D74F9">
        <w:t xml:space="preserve">à haute valeur ajoutée </w:t>
      </w:r>
      <w:r>
        <w:t xml:space="preserve">permettant la </w:t>
      </w:r>
      <w:r w:rsidR="001D74F9">
        <w:t>commercialisation</w:t>
      </w:r>
      <w:r>
        <w:t xml:space="preserve"> </w:t>
      </w:r>
      <w:r w:rsidR="001D74F9">
        <w:t>d</w:t>
      </w:r>
      <w:r>
        <w:t>e</w:t>
      </w:r>
      <w:r w:rsidR="001D74F9">
        <w:t xml:space="preserve"> </w:t>
      </w:r>
      <w:r>
        <w:t>nvx produits</w:t>
      </w:r>
      <w:r w:rsidR="001D74F9">
        <w:t> ;</w:t>
      </w:r>
    </w:p>
    <w:p w14:paraId="4138D1D5" w14:textId="71805407" w:rsidR="00737FCF" w:rsidRDefault="00737FCF" w:rsidP="001D74F9">
      <w:pPr>
        <w:pStyle w:val="Paragraphedeliste"/>
        <w:numPr>
          <w:ilvl w:val="0"/>
          <w:numId w:val="26"/>
        </w:numPr>
      </w:pPr>
      <w:r>
        <w:t xml:space="preserve">API permettant l’utilisation ciblée de modèle d’IA </w:t>
      </w:r>
      <w:r w:rsidR="001D74F9">
        <w:t>génératives (proposition de nvx services) ;</w:t>
      </w:r>
    </w:p>
    <w:p w14:paraId="4713E47D" w14:textId="38833B67" w:rsidR="00737FCF" w:rsidRDefault="00737FCF" w:rsidP="001D74F9">
      <w:pPr>
        <w:pStyle w:val="Paragraphedeliste"/>
        <w:numPr>
          <w:ilvl w:val="0"/>
          <w:numId w:val="26"/>
        </w:numPr>
      </w:pPr>
      <w:r>
        <w:t xml:space="preserve">Outils d’évaluation </w:t>
      </w:r>
      <w:r w:rsidR="001D74F9">
        <w:t xml:space="preserve">des performances </w:t>
      </w:r>
      <w:r>
        <w:t xml:space="preserve">des IA </w:t>
      </w:r>
      <w:r w:rsidR="001D74F9">
        <w:t>génératives</w:t>
      </w:r>
      <w:r>
        <w:t xml:space="preserve"> pour différentes tâches</w:t>
      </w:r>
      <w:r w:rsidR="001D74F9">
        <w:t> ;</w:t>
      </w:r>
    </w:p>
    <w:p w14:paraId="539C789B" w14:textId="1C80AB79" w:rsidR="00737FCF" w:rsidRDefault="001D74F9" w:rsidP="001D74F9">
      <w:pPr>
        <w:pStyle w:val="Paragraphedeliste"/>
        <w:numPr>
          <w:ilvl w:val="0"/>
          <w:numId w:val="26"/>
        </w:numPr>
      </w:pPr>
      <w:r>
        <w:t xml:space="preserve">Autres </w:t>
      </w:r>
      <w:r w:rsidR="00737FCF">
        <w:t>communs de la chaine de valeur d’IA générative</w:t>
      </w:r>
      <w:r>
        <w:t xml:space="preserve"> (caractère incitatif argumenté).</w:t>
      </w:r>
    </w:p>
    <w:p w14:paraId="70BC6535" w14:textId="32BFDA8A" w:rsidR="001D74F9" w:rsidRDefault="001D74F9" w:rsidP="001D74F9">
      <w:r>
        <w:t>Une utilisation ultérieure par les membres du consortium doit être un objectif</w:t>
      </w:r>
    </w:p>
    <w:p w14:paraId="0AAE8BE6" w14:textId="140A1FAC" w:rsidR="00F4658C" w:rsidRDefault="001D74F9" w:rsidP="001D74F9">
      <w:r>
        <w:t>Les</w:t>
      </w:r>
      <w:r w:rsidR="00F4658C">
        <w:t xml:space="preserve"> </w:t>
      </w:r>
      <w:r>
        <w:t xml:space="preserve">projets doivent </w:t>
      </w:r>
      <w:r w:rsidR="00F4658C">
        <w:t xml:space="preserve">démontrer leur </w:t>
      </w:r>
      <w:r w:rsidR="00880B81">
        <w:t>capacité</w:t>
      </w:r>
    </w:p>
    <w:p w14:paraId="0AA62E30" w14:textId="17DD2B27" w:rsidR="00F4658C" w:rsidRDefault="00F4658C" w:rsidP="00F4658C">
      <w:pPr>
        <w:pStyle w:val="Paragraphedeliste"/>
        <w:numPr>
          <w:ilvl w:val="0"/>
          <w:numId w:val="27"/>
        </w:numPr>
      </w:pPr>
      <w:r>
        <w:t>A positionner les acteurs nationaux sur les meilleures opportunités de marché ;</w:t>
      </w:r>
    </w:p>
    <w:p w14:paraId="5AC1A24E" w14:textId="4ABBFB31" w:rsidR="00F4658C" w:rsidRDefault="00F4658C" w:rsidP="00F4658C">
      <w:pPr>
        <w:pStyle w:val="Paragraphedeliste"/>
        <w:numPr>
          <w:ilvl w:val="0"/>
          <w:numId w:val="27"/>
        </w:numPr>
      </w:pPr>
      <w:r>
        <w:t>A garantir la réutilisation à un large ensemble d’acteurs ;</w:t>
      </w:r>
    </w:p>
    <w:p w14:paraId="5D1DDF79" w14:textId="340021B0" w:rsidR="00F4658C" w:rsidRDefault="00F4658C" w:rsidP="00F4658C">
      <w:pPr>
        <w:pStyle w:val="Paragraphedeliste"/>
        <w:numPr>
          <w:ilvl w:val="0"/>
          <w:numId w:val="27"/>
        </w:numPr>
      </w:pPr>
      <w:r>
        <w:t xml:space="preserve">A garantir que la stratégie de mise en accessibilité (licences des bases de données, plateforme de partage, modèle pré-entrainé…) répond </w:t>
      </w:r>
      <w:r w:rsidR="00B856BD">
        <w:t>aux enjeux</w:t>
      </w:r>
      <w:r>
        <w:t xml:space="preserve"> de souveraineté, de confiance et de conformités réglementaires</w:t>
      </w:r>
    </w:p>
    <w:p w14:paraId="2FAAA6E5" w14:textId="57575C1D" w:rsidR="00737FCF" w:rsidRDefault="00F4658C" w:rsidP="009E1047">
      <w:r>
        <w:t>Budget de dépenses compris entre 1 et 20 millions d’euros pour un objectif de TRL 6 à 8 en fin de projet</w:t>
      </w:r>
    </w:p>
    <w:p w14:paraId="36F5BBC5" w14:textId="74A5BD78" w:rsidR="00F4658C" w:rsidRDefault="00F4658C" w:rsidP="009E1047">
      <w:r>
        <w:t>Durée de 12 à 24 mois</w:t>
      </w:r>
    </w:p>
    <w:p w14:paraId="377ABDED" w14:textId="77777777" w:rsidR="00B14FF9" w:rsidRPr="00B14FF9" w:rsidRDefault="00880B81" w:rsidP="00B14FF9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B14FF9">
        <w:rPr>
          <w:rFonts w:asciiTheme="minorHAnsi" w:hAnsiTheme="minorHAnsi" w:cstheme="minorHAnsi"/>
          <w:b/>
          <w:bCs/>
        </w:rPr>
        <w:t xml:space="preserve">Porteurs : </w:t>
      </w:r>
    </w:p>
    <w:p w14:paraId="01ACD6A4" w14:textId="0CAF11A4" w:rsidR="00F4658C" w:rsidRDefault="00B14FF9" w:rsidP="009E1047">
      <w:r>
        <w:t>T</w:t>
      </w:r>
      <w:r w:rsidR="00880B81">
        <w:t>ou</w:t>
      </w:r>
      <w:r>
        <w:t>s les</w:t>
      </w:r>
      <w:r w:rsidR="00880B81">
        <w:t xml:space="preserve"> types de structure</w:t>
      </w:r>
      <w:r>
        <w:t xml:space="preserve"> peuvent </w:t>
      </w:r>
      <w:r w:rsidR="00750CAF">
        <w:t>être</w:t>
      </w:r>
      <w:r>
        <w:t xml:space="preserve"> chef de file. </w:t>
      </w:r>
    </w:p>
    <w:p w14:paraId="3FB4745C" w14:textId="58EBF148" w:rsidR="00B14FF9" w:rsidRDefault="00B14FF9" w:rsidP="009E1047">
      <w:r>
        <w:t xml:space="preserve">Consortium comprenant le plus grand nombre d’acteurs ayant un intérêt propre à utiliser les communs numériques </w:t>
      </w:r>
    </w:p>
    <w:p w14:paraId="4653965E" w14:textId="1D9A053E" w:rsidR="00B14FF9" w:rsidRDefault="00B14FF9" w:rsidP="00B14FF9">
      <w:pPr>
        <w:spacing w:after="0" w:line="240" w:lineRule="auto"/>
      </w:pPr>
      <w:r>
        <w:t>Collaboration entre :</w:t>
      </w:r>
    </w:p>
    <w:p w14:paraId="65B31548" w14:textId="7DE3467F" w:rsidR="00B14FF9" w:rsidRPr="00B14FF9" w:rsidRDefault="00B14FF9" w:rsidP="00B14FF9">
      <w:pPr>
        <w:pStyle w:val="Paragraphedeliste"/>
        <w:numPr>
          <w:ilvl w:val="0"/>
          <w:numId w:val="27"/>
        </w:numPr>
      </w:pPr>
      <w:r w:rsidRPr="00B14FF9">
        <w:t>Entreprises dont au moins une PME ou start-up (pas plus de 70% du budget porté par un partenaire)</w:t>
      </w:r>
    </w:p>
    <w:p w14:paraId="031F3CDD" w14:textId="631F9BFE" w:rsidR="00B14FF9" w:rsidRPr="00B14FF9" w:rsidRDefault="00B14FF9" w:rsidP="00B14FF9">
      <w:pPr>
        <w:pStyle w:val="Paragraphedeliste"/>
        <w:numPr>
          <w:ilvl w:val="0"/>
          <w:numId w:val="27"/>
        </w:numPr>
      </w:pPr>
      <w:r w:rsidRPr="00B14FF9">
        <w:t>Entreprise et un ou plusieurs organismes de recherche (supportant minimum 10% du budget)</w:t>
      </w:r>
    </w:p>
    <w:p w14:paraId="60276731" w14:textId="1CB35A40" w:rsidR="00BD04A8" w:rsidRPr="00B16CB7" w:rsidRDefault="00BD04A8" w:rsidP="00BD04A8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bookmarkStart w:id="0" w:name="_Hlk23155656"/>
      <w:bookmarkStart w:id="1" w:name="_Hlk23156969"/>
      <w:r w:rsidRPr="00B16CB7">
        <w:rPr>
          <w:rFonts w:asciiTheme="minorHAnsi" w:hAnsiTheme="minorHAnsi" w:cstheme="minorHAnsi"/>
          <w:b/>
          <w:bCs/>
        </w:rPr>
        <w:t>Dépenses éligibles</w:t>
      </w:r>
    </w:p>
    <w:p w14:paraId="47CE6BBC" w14:textId="77777777" w:rsidR="00B14FF9" w:rsidRDefault="00B14FF9" w:rsidP="00B14FF9">
      <w:pPr>
        <w:spacing w:after="0" w:line="240" w:lineRule="auto"/>
      </w:pPr>
      <w:r>
        <w:t>Dépenses directement affectées aux t</w:t>
      </w:r>
      <w:r w:rsidR="00AD4F77">
        <w:t xml:space="preserve">ravaux </w:t>
      </w:r>
    </w:p>
    <w:p w14:paraId="630EEAF8" w14:textId="6110425A" w:rsidR="00BD04A8" w:rsidRDefault="00BD04A8" w:rsidP="00B14FF9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D</w:t>
      </w:r>
      <w:r w:rsidRPr="008D6D51">
        <w:t>épenses de personnels affectés au projet, identifiés et appartenant aux catégories suivantes : chercheurs, ingénieurs et techniciens ;</w:t>
      </w:r>
    </w:p>
    <w:p w14:paraId="0555BC79" w14:textId="718DB806" w:rsidR="00BD04A8" w:rsidRPr="008D6D51" w:rsidRDefault="00BD04A8" w:rsidP="00BD04A8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Frais connexes (montant forfaitaire des dépenses de personnel</w:t>
      </w:r>
      <w:r w:rsidR="00B14FF9">
        <w:t> : 20%</w:t>
      </w:r>
      <w:r>
        <w:t>)</w:t>
      </w:r>
    </w:p>
    <w:p w14:paraId="4E590D46" w14:textId="27F52164" w:rsidR="00BD04A8" w:rsidRPr="008D6D51" w:rsidRDefault="00580775" w:rsidP="00BD04A8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Coûts d’a</w:t>
      </w:r>
      <w:r w:rsidR="00BD04A8">
        <w:t>m</w:t>
      </w:r>
      <w:r w:rsidR="00BD04A8" w:rsidRPr="008D6D51">
        <w:t xml:space="preserve">ortissements d’équipements et de matériels de recherche </w:t>
      </w:r>
      <w:r w:rsidR="00BD04A8">
        <w:t xml:space="preserve">au prorata de leur utilisation dans le cadre du </w:t>
      </w:r>
      <w:r w:rsidR="00CC32D1">
        <w:t>projet</w:t>
      </w:r>
      <w:r w:rsidR="00CC32D1" w:rsidRPr="008D6D51">
        <w:t xml:space="preserve"> ;</w:t>
      </w:r>
    </w:p>
    <w:p w14:paraId="495F26D2" w14:textId="0A91CF49" w:rsidR="00BD04A8" w:rsidRDefault="00580775" w:rsidP="00BD04A8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Coûts de s</w:t>
      </w:r>
      <w:r w:rsidR="00BD04A8" w:rsidRPr="008D6D51">
        <w:t xml:space="preserve">ous-traitance </w:t>
      </w:r>
      <w:r>
        <w:t>affectés au projet (max</w:t>
      </w:r>
      <w:r w:rsidR="00BD04A8" w:rsidRPr="008D6D51">
        <w:t xml:space="preserve"> 30% des co</w:t>
      </w:r>
      <w:r w:rsidR="00BD04A8">
        <w:t>û</w:t>
      </w:r>
      <w:r w:rsidR="00BD04A8" w:rsidRPr="008D6D51">
        <w:t xml:space="preserve">ts </w:t>
      </w:r>
      <w:r w:rsidR="00CC32D1" w:rsidRPr="008D6D51">
        <w:t>complets)</w:t>
      </w:r>
      <w:r w:rsidR="00BD04A8" w:rsidRPr="008D6D51">
        <w:t> ;</w:t>
      </w:r>
    </w:p>
    <w:p w14:paraId="557DB9DB" w14:textId="6A17ACE1" w:rsidR="00580775" w:rsidRDefault="00580775" w:rsidP="00BD04A8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Frais de mission….</w:t>
      </w:r>
    </w:p>
    <w:p w14:paraId="2950167F" w14:textId="25FD2E7A" w:rsidR="009864E7" w:rsidRPr="008D6D51" w:rsidRDefault="009864E7" w:rsidP="00BD04A8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Autres coûts (fr</w:t>
      </w:r>
      <w:r w:rsidR="007171FC">
        <w:t>a</w:t>
      </w:r>
      <w:r>
        <w:t>is d’exploitation…)</w:t>
      </w:r>
    </w:p>
    <w:p w14:paraId="626131CF" w14:textId="4C1E6A02" w:rsidR="00BD04A8" w:rsidRDefault="00BD04A8" w:rsidP="007171FC">
      <w:pPr>
        <w:spacing w:after="120" w:line="240" w:lineRule="auto"/>
        <w:ind w:left="207"/>
        <w:rPr>
          <w:rFonts w:eastAsia="Times New Roman" w:cstheme="minorHAnsi"/>
          <w:lang w:eastAsia="fr-FR"/>
        </w:rPr>
      </w:pPr>
      <w:r w:rsidRPr="008D6D51">
        <w:t xml:space="preserve">Les travaux de R&amp;D représentant moins de 5% de l’assiette de dépenses du projet </w:t>
      </w:r>
      <w:r w:rsidR="009F20AB">
        <w:t>ou moins de 200 K</w:t>
      </w:r>
      <w:r w:rsidR="00B14FF9">
        <w:t xml:space="preserve"> euros</w:t>
      </w:r>
      <w:r w:rsidR="009F20AB">
        <w:t xml:space="preserve"> </w:t>
      </w:r>
      <w:r w:rsidRPr="008D6D51">
        <w:t>ont vocation à être pris en charge en sous-traitance</w:t>
      </w:r>
      <w:r w:rsidRPr="007171FC">
        <w:rPr>
          <w:rFonts w:eastAsia="Times New Roman" w:cstheme="minorHAnsi"/>
          <w:lang w:eastAsia="fr-FR"/>
        </w:rPr>
        <w:t>.</w:t>
      </w:r>
    </w:p>
    <w:bookmarkEnd w:id="0"/>
    <w:p w14:paraId="1CEC9ECC" w14:textId="4F909466" w:rsidR="00580775" w:rsidRPr="00B16CB7" w:rsidRDefault="00580775" w:rsidP="00580775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B16CB7">
        <w:rPr>
          <w:rFonts w:asciiTheme="minorHAnsi" w:hAnsiTheme="minorHAnsi" w:cstheme="minorHAnsi"/>
          <w:b/>
          <w:bCs/>
        </w:rPr>
        <w:t>Modalités de financement</w:t>
      </w:r>
    </w:p>
    <w:p w14:paraId="040FFAF9" w14:textId="19B7090C" w:rsidR="00580775" w:rsidRPr="00580775" w:rsidRDefault="00580775" w:rsidP="00580775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rPr>
          <w:b/>
          <w:bCs/>
        </w:rPr>
        <w:t xml:space="preserve">Activités économiques </w:t>
      </w:r>
      <w:r w:rsidRPr="003560C2">
        <w:t>(entreprise</w:t>
      </w:r>
      <w:r w:rsidR="00180829">
        <w:t>s</w:t>
      </w:r>
      <w:r w:rsidRPr="003560C2">
        <w:t>)</w:t>
      </w:r>
    </w:p>
    <w:p w14:paraId="48184859" w14:textId="3FBF10F2" w:rsidR="00580775" w:rsidRPr="00580775" w:rsidRDefault="00580775" w:rsidP="00370340">
      <w:pPr>
        <w:pStyle w:val="Paragraphedeliste"/>
        <w:spacing w:before="120" w:after="120" w:line="240" w:lineRule="auto"/>
        <w:ind w:left="567"/>
        <w:rPr>
          <w:u w:val="single"/>
        </w:rPr>
      </w:pPr>
      <w:r w:rsidRPr="00580775">
        <w:rPr>
          <w:b/>
          <w:bCs/>
          <w:u w:val="single"/>
        </w:rPr>
        <w:t>Taux d’aide</w:t>
      </w:r>
      <w:r w:rsidR="00370340">
        <w:rPr>
          <w:b/>
          <w:bCs/>
          <w:u w:val="single"/>
        </w:rPr>
        <w:t xml:space="preserve"> sous forme de SUBVENTION</w:t>
      </w:r>
    </w:p>
    <w:p w14:paraId="2BECFBBE" w14:textId="50A1A6DD" w:rsidR="009F20AB" w:rsidRPr="00370340" w:rsidRDefault="00370340" w:rsidP="009F20AB">
      <w:pPr>
        <w:pStyle w:val="Paragraphedeliste"/>
        <w:numPr>
          <w:ilvl w:val="1"/>
          <w:numId w:val="11"/>
        </w:numPr>
        <w:spacing w:after="120" w:line="240" w:lineRule="auto"/>
        <w:ind w:left="993"/>
      </w:pPr>
      <w:r w:rsidRPr="00370340">
        <w:t>Recherche industrielle</w:t>
      </w:r>
      <w:r>
        <w:t> :</w:t>
      </w:r>
      <w:r w:rsidR="009F20AB" w:rsidRPr="00370340">
        <w:tab/>
      </w:r>
      <w:r w:rsidR="00BF45BB" w:rsidRPr="00370340">
        <w:tab/>
      </w:r>
      <w:r w:rsidRPr="00370340">
        <w:tab/>
        <w:t>70</w:t>
      </w:r>
      <w:r w:rsidR="009F20AB" w:rsidRPr="00370340">
        <w:t xml:space="preserve">%(PE), </w:t>
      </w:r>
      <w:r w:rsidR="009F20AB" w:rsidRPr="00370340">
        <w:tab/>
      </w:r>
      <w:r w:rsidRPr="00370340">
        <w:t>60</w:t>
      </w:r>
      <w:r w:rsidR="009F20AB" w:rsidRPr="00370340">
        <w:t xml:space="preserve">% (ME), </w:t>
      </w:r>
      <w:r w:rsidR="009F20AB" w:rsidRPr="00370340">
        <w:tab/>
      </w:r>
      <w:r w:rsidRPr="00370340">
        <w:t>50</w:t>
      </w:r>
      <w:r w:rsidR="009F20AB" w:rsidRPr="00370340">
        <w:t>% (ETI et GG)</w:t>
      </w:r>
    </w:p>
    <w:p w14:paraId="4C6BF558" w14:textId="694775B4" w:rsidR="00580775" w:rsidRPr="00370340" w:rsidRDefault="00370340" w:rsidP="009F20AB">
      <w:pPr>
        <w:pStyle w:val="Paragraphedeliste"/>
        <w:numPr>
          <w:ilvl w:val="1"/>
          <w:numId w:val="11"/>
        </w:numPr>
        <w:spacing w:after="120" w:line="240" w:lineRule="auto"/>
        <w:ind w:left="993"/>
      </w:pPr>
      <w:r w:rsidRPr="00370340">
        <w:t>Développement expérimental :</w:t>
      </w:r>
      <w:r w:rsidR="00BF45BB" w:rsidRPr="00370340">
        <w:tab/>
      </w:r>
      <w:r w:rsidR="005120B6" w:rsidRPr="00370340">
        <w:tab/>
      </w:r>
      <w:r w:rsidRPr="00370340">
        <w:t>45</w:t>
      </w:r>
      <w:r w:rsidR="00580775" w:rsidRPr="00370340">
        <w:t xml:space="preserve">%(PE), </w:t>
      </w:r>
      <w:r w:rsidR="005120B6" w:rsidRPr="00370340">
        <w:tab/>
      </w:r>
      <w:r w:rsidRPr="00370340">
        <w:t>35</w:t>
      </w:r>
      <w:r w:rsidR="00580775" w:rsidRPr="00370340">
        <w:t xml:space="preserve">% (ME), </w:t>
      </w:r>
      <w:r w:rsidR="005120B6" w:rsidRPr="00370340">
        <w:tab/>
      </w:r>
      <w:r w:rsidRPr="00370340">
        <w:t>25</w:t>
      </w:r>
      <w:r w:rsidR="00580775" w:rsidRPr="00370340">
        <w:t>% (ETI et sup)</w:t>
      </w:r>
    </w:p>
    <w:p w14:paraId="2EE4BFC7" w14:textId="4744DCF9" w:rsidR="00370340" w:rsidRPr="00370340" w:rsidRDefault="00370340" w:rsidP="00370340">
      <w:pPr>
        <w:pStyle w:val="Paragraphedeliste"/>
        <w:spacing w:after="240" w:line="240" w:lineRule="auto"/>
        <w:ind w:left="992"/>
        <w:rPr>
          <w:color w:val="FF0000"/>
        </w:rPr>
      </w:pPr>
      <w:r w:rsidRPr="00370340">
        <w:rPr>
          <w:color w:val="FF0000"/>
        </w:rPr>
        <w:lastRenderedPageBreak/>
        <w:t>Taux différents pour les bases de données</w:t>
      </w:r>
    </w:p>
    <w:p w14:paraId="0EBA77B8" w14:textId="4E5E393D" w:rsidR="009F20AB" w:rsidRDefault="00580775" w:rsidP="00A93173">
      <w:pPr>
        <w:pStyle w:val="Paragraphedeliste"/>
        <w:numPr>
          <w:ilvl w:val="1"/>
          <w:numId w:val="11"/>
        </w:numPr>
        <w:spacing w:after="120" w:line="240" w:lineRule="auto"/>
        <w:ind w:left="633"/>
      </w:pPr>
      <w:r w:rsidRPr="00370340">
        <w:rPr>
          <w:b/>
          <w:bCs/>
        </w:rPr>
        <w:t>Activités non économiques</w:t>
      </w:r>
      <w:r w:rsidR="00370340" w:rsidRPr="00370340">
        <w:rPr>
          <w:b/>
          <w:bCs/>
        </w:rPr>
        <w:t> </w:t>
      </w:r>
      <w:r w:rsidR="00370340">
        <w:t>:</w:t>
      </w:r>
      <w:r w:rsidR="00181FB4">
        <w:t xml:space="preserve"> </w:t>
      </w:r>
      <w:r w:rsidR="003560C2" w:rsidRPr="00CB0C8A">
        <w:t>Organismes de recherche et assimilés : 100% des coûts marginaux ou 50% des</w:t>
      </w:r>
      <w:r w:rsidR="00395A2B" w:rsidRPr="00CB0C8A">
        <w:t xml:space="preserve"> </w:t>
      </w:r>
      <w:r w:rsidR="003560C2" w:rsidRPr="00CB0C8A">
        <w:t>coûts complets</w:t>
      </w:r>
      <w:r w:rsidR="00370340">
        <w:t xml:space="preserve"> s</w:t>
      </w:r>
      <w:r w:rsidR="00181FB4">
        <w:t>ous</w:t>
      </w:r>
      <w:r w:rsidR="00370340">
        <w:t xml:space="preserve"> forme de subventions</w:t>
      </w:r>
    </w:p>
    <w:p w14:paraId="4B62DFA2" w14:textId="77777777" w:rsidR="00BF45BB" w:rsidRPr="00B16CB7" w:rsidRDefault="009E23D5" w:rsidP="00BF45BB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B16CB7">
        <w:rPr>
          <w:rFonts w:asciiTheme="minorHAnsi" w:hAnsiTheme="minorHAnsi" w:cstheme="minorHAnsi"/>
          <w:b/>
          <w:bCs/>
        </w:rPr>
        <w:t>Critères de sélection</w:t>
      </w:r>
      <w:bookmarkStart w:id="2" w:name="_Hlk23157161"/>
      <w:bookmarkEnd w:id="1"/>
    </w:p>
    <w:p w14:paraId="458B260D" w14:textId="3F0E597E" w:rsidR="00370340" w:rsidRPr="00BF45BB" w:rsidRDefault="00BF45BB" w:rsidP="00295AC8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P</w:t>
      </w:r>
      <w:r w:rsidRPr="00BF45BB">
        <w:t>ertinence au regard des objectifs de l’appel à projets</w:t>
      </w:r>
      <w:r w:rsidR="00370340">
        <w:t xml:space="preserve"> et des exigences d’accessibilité, de souveraineté et de performance</w:t>
      </w:r>
      <w:r w:rsidRPr="00BF45BB">
        <w:t xml:space="preserve"> ;</w:t>
      </w:r>
      <w:r w:rsidR="00370340">
        <w:t xml:space="preserve"> Justification des opportunités économiques ; Contribution à la valorisation du patrimoine national de données</w:t>
      </w:r>
    </w:p>
    <w:p w14:paraId="14EB1D95" w14:textId="776E9CB5" w:rsidR="00370340" w:rsidRDefault="00370340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Qualité de la gouvernance, planning, jalons, gestion des risques, description des coûts, clarté rédactionnelle</w:t>
      </w:r>
    </w:p>
    <w:p w14:paraId="5BAF3E94" w14:textId="3D42DD40" w:rsidR="00BF45BB" w:rsidRDefault="00BF45BB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E</w:t>
      </w:r>
      <w:r w:rsidRPr="00BF45BB">
        <w:t>xistence d’une collaboration structurée ou d’un effet diffusant au sein d’une filière ou d’un écosystème, en particulier pour les entreprises impliquées ;</w:t>
      </w:r>
    </w:p>
    <w:p w14:paraId="3FEA8D2F" w14:textId="38C7F6B2" w:rsidR="00370340" w:rsidRDefault="00370340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 xml:space="preserve">Pertinence du consortium, implication des acteurs émergent de l’innovation, diversité des acteurs associés, </w:t>
      </w:r>
    </w:p>
    <w:p w14:paraId="17204D7A" w14:textId="5AA784C7" w:rsidR="00370340" w:rsidRDefault="00370340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Proposition d’’Indicateurs de performance pertinent, incitabilité de l’aide, capacité à mener le projet ;</w:t>
      </w:r>
    </w:p>
    <w:p w14:paraId="18B4BC56" w14:textId="0090CCBC" w:rsidR="00370340" w:rsidRDefault="00370340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 xml:space="preserve">Capacité à lever les verrous numériques ; à </w:t>
      </w:r>
      <w:r w:rsidR="00B856BD">
        <w:t>combler</w:t>
      </w:r>
      <w:r>
        <w:t xml:space="preserve"> les failles du marché, à </w:t>
      </w:r>
      <w:r w:rsidR="00B856BD">
        <w:t>conférer</w:t>
      </w:r>
      <w:r>
        <w:t xml:space="preserve"> un avantage concurrentiel ;</w:t>
      </w:r>
    </w:p>
    <w:p w14:paraId="6A9DFA63" w14:textId="4CD21B66" w:rsidR="00370340" w:rsidRDefault="00370340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 xml:space="preserve">Justification des </w:t>
      </w:r>
      <w:r w:rsidR="00181FB4">
        <w:t>infrastructures</w:t>
      </w:r>
      <w:r>
        <w:t xml:space="preserve"> et du choix effectués pour accuser </w:t>
      </w:r>
      <w:r w:rsidR="00B856BD">
        <w:t>l’accessibilité.</w:t>
      </w:r>
    </w:p>
    <w:p w14:paraId="7854C2F9" w14:textId="3371FB7C" w:rsidR="00370340" w:rsidRDefault="00181FB4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Capacité à assurer la confiance envers les solutions proposées (dé</w:t>
      </w:r>
      <w:r w:rsidR="00B856BD">
        <w:t>-</w:t>
      </w:r>
      <w:r>
        <w:t>biaisage, règlementations…)</w:t>
      </w:r>
    </w:p>
    <w:p w14:paraId="2B20EAA9" w14:textId="5DBF58CF" w:rsidR="00181FB4" w:rsidRDefault="00181FB4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Démonstration des éléments positifs ou neutres de l’impacts environnementaux</w:t>
      </w:r>
    </w:p>
    <w:p w14:paraId="1D431AA1" w14:textId="26A558CE" w:rsidR="00370340" w:rsidRDefault="00181FB4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Caractère généralisation de la solution ;</w:t>
      </w:r>
    </w:p>
    <w:p w14:paraId="049F2283" w14:textId="704DBF06" w:rsidR="00181FB4" w:rsidRDefault="00181FB4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>Justification des opportunités économiques : modèle d’affaire, plan d’affaire à l’échelle France et Europe ; justification de la pertinence v/v des enjeux socio-économiques et sociétaux, pérennité du commun après la fin du projet, anticipation des besoins de sa maintenance et de son évolution ;</w:t>
      </w:r>
    </w:p>
    <w:p w14:paraId="1229540F" w14:textId="79C8429E" w:rsidR="00181FB4" w:rsidRDefault="00181FB4" w:rsidP="00BF45BB">
      <w:pPr>
        <w:pStyle w:val="Paragraphedeliste"/>
        <w:numPr>
          <w:ilvl w:val="0"/>
          <w:numId w:val="11"/>
        </w:numPr>
        <w:spacing w:after="120" w:line="240" w:lineRule="auto"/>
        <w:ind w:left="567"/>
      </w:pPr>
      <w:r>
        <w:t xml:space="preserve">Prise en compte de la cybersécurité </w:t>
      </w:r>
    </w:p>
    <w:p w14:paraId="1B828E7E" w14:textId="0F1093CC" w:rsidR="00181FB4" w:rsidRDefault="00181FB4" w:rsidP="00181FB4">
      <w:pPr>
        <w:spacing w:after="120" w:line="240" w:lineRule="auto"/>
        <w:ind w:left="207"/>
      </w:pPr>
      <w:r>
        <w:t>La labellisation par un ou plusieurs pôles de compétitivité est recommandée mais non obligatoire</w:t>
      </w:r>
    </w:p>
    <w:bookmarkEnd w:id="2"/>
    <w:p w14:paraId="1D0B8EBD" w14:textId="0B58D829" w:rsidR="005357FF" w:rsidRPr="00B16CB7" w:rsidRDefault="005357FF" w:rsidP="005357FF">
      <w:pPr>
        <w:pStyle w:val="Titre2"/>
        <w:spacing w:before="0" w:after="120" w:line="240" w:lineRule="auto"/>
        <w:rPr>
          <w:rFonts w:asciiTheme="minorHAnsi" w:hAnsiTheme="minorHAnsi" w:cstheme="minorHAnsi"/>
          <w:b/>
          <w:bCs/>
        </w:rPr>
      </w:pPr>
      <w:r w:rsidRPr="00B16CB7">
        <w:rPr>
          <w:rFonts w:asciiTheme="minorHAnsi" w:hAnsiTheme="minorHAnsi" w:cstheme="minorHAnsi"/>
          <w:b/>
          <w:bCs/>
        </w:rPr>
        <w:t>Calendrier</w:t>
      </w:r>
    </w:p>
    <w:p w14:paraId="4AC6747D" w14:textId="0040D3BF" w:rsidR="00BF45BB" w:rsidRDefault="001F4257" w:rsidP="00BF45BB">
      <w:pPr>
        <w:numPr>
          <w:ilvl w:val="0"/>
          <w:numId w:val="21"/>
        </w:numPr>
        <w:shd w:val="clear" w:color="auto" w:fill="FFFFFF"/>
        <w:spacing w:after="0" w:line="240" w:lineRule="auto"/>
        <w:ind w:firstLine="181"/>
        <w:rPr>
          <w:rFonts w:eastAsia="Times New Roman" w:cstheme="minorHAnsi"/>
          <w:color w:val="071A39"/>
          <w:lang w:eastAsia="fr-FR"/>
        </w:rPr>
      </w:pPr>
      <w:r>
        <w:rPr>
          <w:rFonts w:eastAsia="Times New Roman" w:cstheme="minorHAnsi"/>
          <w:color w:val="071A39"/>
          <w:lang w:eastAsia="fr-FR"/>
        </w:rPr>
        <w:t>24 octobre 2023 à 12h00</w:t>
      </w:r>
    </w:p>
    <w:p w14:paraId="18E68F7E" w14:textId="77777777" w:rsidR="001F4257" w:rsidRPr="00BF45BB" w:rsidRDefault="001F4257" w:rsidP="001F4257">
      <w:pPr>
        <w:shd w:val="clear" w:color="auto" w:fill="FFFFFF"/>
        <w:spacing w:after="0" w:line="240" w:lineRule="auto"/>
        <w:ind w:left="901"/>
        <w:rPr>
          <w:rFonts w:eastAsia="Times New Roman" w:cstheme="minorHAnsi"/>
          <w:color w:val="071A39"/>
          <w:lang w:eastAsia="fr-FR"/>
        </w:rPr>
      </w:pPr>
    </w:p>
    <w:p w14:paraId="08EF1C9E" w14:textId="73F2684B" w:rsidR="00BF45BB" w:rsidRDefault="00000000" w:rsidP="008D6D51">
      <w:pPr>
        <w:spacing w:after="120" w:line="240" w:lineRule="auto"/>
        <w:rPr>
          <w:rFonts w:cstheme="minorHAnsi"/>
        </w:rPr>
      </w:pPr>
      <w:hyperlink r:id="rId8" w:history="1">
        <w:r w:rsidR="001F4257" w:rsidRPr="00053457">
          <w:rPr>
            <w:rStyle w:val="Lienhypertexte"/>
            <w:rFonts w:cstheme="minorHAnsi"/>
          </w:rPr>
          <w:t>https://www.bpifrance.fr/nos-appels-a-projets-concours/appel-a-projets-communs-numeriques-pour-lintelligence-artificielle-generative</w:t>
        </w:r>
      </w:hyperlink>
    </w:p>
    <w:p w14:paraId="06FE1C02" w14:textId="77777777" w:rsidR="001F4257" w:rsidRDefault="001F4257" w:rsidP="008D6D51">
      <w:pPr>
        <w:spacing w:after="120" w:line="240" w:lineRule="auto"/>
        <w:rPr>
          <w:rFonts w:cstheme="minorHAnsi"/>
        </w:rPr>
      </w:pPr>
    </w:p>
    <w:sectPr w:rsidR="001F4257" w:rsidSect="00B16CB7">
      <w:headerReference w:type="default" r:id="rId9"/>
      <w:footerReference w:type="default" r:id="rId10"/>
      <w:pgSz w:w="11906" w:h="16838"/>
      <w:pgMar w:top="1560" w:right="849" w:bottom="1134" w:left="1134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A214" w14:textId="77777777" w:rsidR="004A6DD1" w:rsidRDefault="004A6DD1" w:rsidP="00175498">
      <w:pPr>
        <w:spacing w:after="0" w:line="240" w:lineRule="auto"/>
      </w:pPr>
      <w:r>
        <w:separator/>
      </w:r>
    </w:p>
  </w:endnote>
  <w:endnote w:type="continuationSeparator" w:id="0">
    <w:p w14:paraId="0AA2228F" w14:textId="77777777" w:rsidR="004A6DD1" w:rsidRDefault="004A6DD1" w:rsidP="0017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8739" w14:textId="6258AE50" w:rsidR="00175498" w:rsidRPr="00175498" w:rsidRDefault="00BF45BB">
    <w:pPr>
      <w:pStyle w:val="Pieddepage"/>
      <w:rPr>
        <w:color w:val="A6A6A6" w:themeColor="background1" w:themeShade="A6"/>
      </w:rPr>
    </w:pPr>
    <w:r>
      <w:rPr>
        <w:color w:val="A6A6A6" w:themeColor="background1" w:themeShade="A6"/>
      </w:rPr>
      <w:tab/>
    </w:r>
    <w:r w:rsidR="00175498" w:rsidRPr="00175498">
      <w:rPr>
        <w:color w:val="A6A6A6" w:themeColor="background1" w:themeShade="A6"/>
      </w:rPr>
      <w:t xml:space="preserve">Version </w:t>
    </w:r>
    <w:r w:rsidR="006034A7">
      <w:rPr>
        <w:color w:val="A6A6A6" w:themeColor="background1" w:themeShade="A6"/>
      </w:rPr>
      <w:t>juin</w:t>
    </w:r>
    <w:r w:rsidR="00737EDA">
      <w:rPr>
        <w:color w:val="A6A6A6" w:themeColor="background1" w:themeShade="A6"/>
      </w:rPr>
      <w:t xml:space="preserve"> </w:t>
    </w:r>
    <w:r w:rsidR="00BD12A1">
      <w:rPr>
        <w:color w:val="A6A6A6" w:themeColor="background1" w:themeShade="A6"/>
      </w:rPr>
      <w:t>202</w:t>
    </w:r>
    <w:r w:rsidR="009C6716">
      <w:rPr>
        <w:color w:val="A6A6A6" w:themeColor="background1" w:themeShade="A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3D49" w14:textId="77777777" w:rsidR="004A6DD1" w:rsidRDefault="004A6DD1" w:rsidP="00175498">
      <w:pPr>
        <w:spacing w:after="0" w:line="240" w:lineRule="auto"/>
      </w:pPr>
      <w:r>
        <w:separator/>
      </w:r>
    </w:p>
  </w:footnote>
  <w:footnote w:type="continuationSeparator" w:id="0">
    <w:p w14:paraId="3DEB5E79" w14:textId="77777777" w:rsidR="004A6DD1" w:rsidRDefault="004A6DD1" w:rsidP="0017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EAFA" w14:textId="14C2D760" w:rsidR="00175498" w:rsidRDefault="00175498" w:rsidP="008D6D51">
    <w:pPr>
      <w:pStyle w:val="En-tte"/>
      <w:jc w:val="center"/>
    </w:pPr>
    <w:r>
      <w:rPr>
        <w:rFonts w:cstheme="minorHAnsi"/>
        <w:b/>
        <w:bCs/>
        <w:noProof/>
        <w:lang w:val="en-GB"/>
      </w:rPr>
      <w:drawing>
        <wp:inline distT="0" distB="0" distL="0" distR="0" wp14:anchorId="11CD2F8E" wp14:editId="05010E76">
          <wp:extent cx="914769" cy="657726"/>
          <wp:effectExtent l="0" t="0" r="0" b="9525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lubster ns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8274" r="19477" b="28571"/>
                  <a:stretch/>
                </pic:blipFill>
                <pic:spPr bwMode="auto">
                  <a:xfrm>
                    <a:off x="0" y="0"/>
                    <a:ext cx="922241" cy="6630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E21"/>
    <w:multiLevelType w:val="multilevel"/>
    <w:tmpl w:val="C340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F2543"/>
    <w:multiLevelType w:val="hybridMultilevel"/>
    <w:tmpl w:val="66C27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E73"/>
    <w:multiLevelType w:val="hybridMultilevel"/>
    <w:tmpl w:val="F404E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E2C"/>
    <w:multiLevelType w:val="multilevel"/>
    <w:tmpl w:val="42A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A6FA9"/>
    <w:multiLevelType w:val="multilevel"/>
    <w:tmpl w:val="0DE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12475"/>
    <w:multiLevelType w:val="hybridMultilevel"/>
    <w:tmpl w:val="8CCA9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6C30"/>
    <w:multiLevelType w:val="multilevel"/>
    <w:tmpl w:val="2AF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A098C"/>
    <w:multiLevelType w:val="multilevel"/>
    <w:tmpl w:val="FE4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C340F"/>
    <w:multiLevelType w:val="hybridMultilevel"/>
    <w:tmpl w:val="533C9512"/>
    <w:lvl w:ilvl="0" w:tplc="2458CB14">
      <w:numFmt w:val="bullet"/>
      <w:lvlText w:val="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341D58"/>
    <w:multiLevelType w:val="multilevel"/>
    <w:tmpl w:val="017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76D9F"/>
    <w:multiLevelType w:val="hybridMultilevel"/>
    <w:tmpl w:val="6B88C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0C10"/>
    <w:multiLevelType w:val="hybridMultilevel"/>
    <w:tmpl w:val="DF84819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4D3B28"/>
    <w:multiLevelType w:val="multilevel"/>
    <w:tmpl w:val="2AF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A10E6"/>
    <w:multiLevelType w:val="hybridMultilevel"/>
    <w:tmpl w:val="DF0C77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4C5B"/>
    <w:multiLevelType w:val="hybridMultilevel"/>
    <w:tmpl w:val="EA4AD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940E9"/>
    <w:multiLevelType w:val="multilevel"/>
    <w:tmpl w:val="D36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A603C"/>
    <w:multiLevelType w:val="hybridMultilevel"/>
    <w:tmpl w:val="37DAF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B4B5F"/>
    <w:multiLevelType w:val="hybridMultilevel"/>
    <w:tmpl w:val="83C22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E06BD"/>
    <w:multiLevelType w:val="hybridMultilevel"/>
    <w:tmpl w:val="7578F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5FB3"/>
    <w:multiLevelType w:val="multilevel"/>
    <w:tmpl w:val="2AF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B546B"/>
    <w:multiLevelType w:val="hybridMultilevel"/>
    <w:tmpl w:val="8A962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C187D"/>
    <w:multiLevelType w:val="multilevel"/>
    <w:tmpl w:val="3152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C5B12"/>
    <w:multiLevelType w:val="multilevel"/>
    <w:tmpl w:val="35EE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75745"/>
    <w:multiLevelType w:val="hybridMultilevel"/>
    <w:tmpl w:val="5868E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37F59"/>
    <w:multiLevelType w:val="hybridMultilevel"/>
    <w:tmpl w:val="AC2A381C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F6B084E"/>
    <w:multiLevelType w:val="multilevel"/>
    <w:tmpl w:val="2AF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E95399"/>
    <w:multiLevelType w:val="multilevel"/>
    <w:tmpl w:val="C71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499606">
    <w:abstractNumId w:val="15"/>
  </w:num>
  <w:num w:numId="2" w16cid:durableId="1277106537">
    <w:abstractNumId w:val="21"/>
  </w:num>
  <w:num w:numId="3" w16cid:durableId="1822771714">
    <w:abstractNumId w:val="22"/>
  </w:num>
  <w:num w:numId="4" w16cid:durableId="449203911">
    <w:abstractNumId w:val="7"/>
  </w:num>
  <w:num w:numId="5" w16cid:durableId="1947076842">
    <w:abstractNumId w:val="9"/>
  </w:num>
  <w:num w:numId="6" w16cid:durableId="1208103584">
    <w:abstractNumId w:val="3"/>
  </w:num>
  <w:num w:numId="7" w16cid:durableId="2039424609">
    <w:abstractNumId w:val="26"/>
  </w:num>
  <w:num w:numId="8" w16cid:durableId="1307977372">
    <w:abstractNumId w:val="19"/>
  </w:num>
  <w:num w:numId="9" w16cid:durableId="2043049011">
    <w:abstractNumId w:val="4"/>
  </w:num>
  <w:num w:numId="10" w16cid:durableId="319389626">
    <w:abstractNumId w:val="23"/>
  </w:num>
  <w:num w:numId="11" w16cid:durableId="97220391">
    <w:abstractNumId w:val="18"/>
  </w:num>
  <w:num w:numId="12" w16cid:durableId="1565141362">
    <w:abstractNumId w:val="8"/>
  </w:num>
  <w:num w:numId="13" w16cid:durableId="1024208536">
    <w:abstractNumId w:val="11"/>
  </w:num>
  <w:num w:numId="14" w16cid:durableId="1517311000">
    <w:abstractNumId w:val="24"/>
  </w:num>
  <w:num w:numId="15" w16cid:durableId="582835370">
    <w:abstractNumId w:val="25"/>
  </w:num>
  <w:num w:numId="16" w16cid:durableId="550269048">
    <w:abstractNumId w:val="12"/>
  </w:num>
  <w:num w:numId="17" w16cid:durableId="1845627049">
    <w:abstractNumId w:val="6"/>
  </w:num>
  <w:num w:numId="18" w16cid:durableId="449477161">
    <w:abstractNumId w:val="14"/>
  </w:num>
  <w:num w:numId="19" w16cid:durableId="784619889">
    <w:abstractNumId w:val="1"/>
  </w:num>
  <w:num w:numId="20" w16cid:durableId="167718660">
    <w:abstractNumId w:val="20"/>
  </w:num>
  <w:num w:numId="21" w16cid:durableId="779226471">
    <w:abstractNumId w:val="0"/>
  </w:num>
  <w:num w:numId="22" w16cid:durableId="1451434483">
    <w:abstractNumId w:val="2"/>
  </w:num>
  <w:num w:numId="23" w16cid:durableId="292097983">
    <w:abstractNumId w:val="10"/>
  </w:num>
  <w:num w:numId="24" w16cid:durableId="2060281392">
    <w:abstractNumId w:val="5"/>
  </w:num>
  <w:num w:numId="25" w16cid:durableId="2110853482">
    <w:abstractNumId w:val="13"/>
  </w:num>
  <w:num w:numId="26" w16cid:durableId="1995336059">
    <w:abstractNumId w:val="17"/>
  </w:num>
  <w:num w:numId="27" w16cid:durableId="2662809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D5"/>
    <w:rsid w:val="00000CBD"/>
    <w:rsid w:val="0001647D"/>
    <w:rsid w:val="00036079"/>
    <w:rsid w:val="00046419"/>
    <w:rsid w:val="0005779D"/>
    <w:rsid w:val="00074753"/>
    <w:rsid w:val="000864D5"/>
    <w:rsid w:val="000913AF"/>
    <w:rsid w:val="000C1745"/>
    <w:rsid w:val="000C3043"/>
    <w:rsid w:val="000C3A78"/>
    <w:rsid w:val="000F7A51"/>
    <w:rsid w:val="00123EAC"/>
    <w:rsid w:val="00173FF4"/>
    <w:rsid w:val="00175498"/>
    <w:rsid w:val="00180829"/>
    <w:rsid w:val="00181FB4"/>
    <w:rsid w:val="001C2765"/>
    <w:rsid w:val="001C3B83"/>
    <w:rsid w:val="001D74F9"/>
    <w:rsid w:val="001E1F97"/>
    <w:rsid w:val="001E65D6"/>
    <w:rsid w:val="001F4257"/>
    <w:rsid w:val="00270CF3"/>
    <w:rsid w:val="00293C92"/>
    <w:rsid w:val="00297C14"/>
    <w:rsid w:val="002C4B97"/>
    <w:rsid w:val="002E17CD"/>
    <w:rsid w:val="00351AB8"/>
    <w:rsid w:val="003560C2"/>
    <w:rsid w:val="00356ECB"/>
    <w:rsid w:val="00370340"/>
    <w:rsid w:val="0038388F"/>
    <w:rsid w:val="00395A2B"/>
    <w:rsid w:val="003A1FBD"/>
    <w:rsid w:val="004273B7"/>
    <w:rsid w:val="00443C02"/>
    <w:rsid w:val="004606FD"/>
    <w:rsid w:val="004901F7"/>
    <w:rsid w:val="004A6A33"/>
    <w:rsid w:val="004A6DD1"/>
    <w:rsid w:val="004D2FE7"/>
    <w:rsid w:val="004F6C7B"/>
    <w:rsid w:val="005120B6"/>
    <w:rsid w:val="00514AE7"/>
    <w:rsid w:val="00527EAD"/>
    <w:rsid w:val="005357FF"/>
    <w:rsid w:val="00574BC2"/>
    <w:rsid w:val="00580775"/>
    <w:rsid w:val="00586943"/>
    <w:rsid w:val="00596156"/>
    <w:rsid w:val="005A466D"/>
    <w:rsid w:val="005C04C0"/>
    <w:rsid w:val="005D0349"/>
    <w:rsid w:val="005F66AB"/>
    <w:rsid w:val="006034A7"/>
    <w:rsid w:val="006A08FF"/>
    <w:rsid w:val="006E7128"/>
    <w:rsid w:val="006F3342"/>
    <w:rsid w:val="00707EF0"/>
    <w:rsid w:val="007171FC"/>
    <w:rsid w:val="00737EDA"/>
    <w:rsid w:val="00737FCF"/>
    <w:rsid w:val="007462B0"/>
    <w:rsid w:val="00750CAF"/>
    <w:rsid w:val="007C3CCA"/>
    <w:rsid w:val="007D0B22"/>
    <w:rsid w:val="0081540B"/>
    <w:rsid w:val="00823C59"/>
    <w:rsid w:val="00853B54"/>
    <w:rsid w:val="00860A03"/>
    <w:rsid w:val="00880B81"/>
    <w:rsid w:val="00886D82"/>
    <w:rsid w:val="008A2875"/>
    <w:rsid w:val="008B0BCC"/>
    <w:rsid w:val="008D6D51"/>
    <w:rsid w:val="008F6852"/>
    <w:rsid w:val="00902A91"/>
    <w:rsid w:val="0093059C"/>
    <w:rsid w:val="00973433"/>
    <w:rsid w:val="009864E7"/>
    <w:rsid w:val="009C56CD"/>
    <w:rsid w:val="009C6716"/>
    <w:rsid w:val="009C7FB8"/>
    <w:rsid w:val="009E1047"/>
    <w:rsid w:val="009E23D5"/>
    <w:rsid w:val="009E591E"/>
    <w:rsid w:val="009F20AB"/>
    <w:rsid w:val="00A3012F"/>
    <w:rsid w:val="00A541CE"/>
    <w:rsid w:val="00A75CB2"/>
    <w:rsid w:val="00A82005"/>
    <w:rsid w:val="00AD4F77"/>
    <w:rsid w:val="00AF2830"/>
    <w:rsid w:val="00AF4E2B"/>
    <w:rsid w:val="00B06033"/>
    <w:rsid w:val="00B078B8"/>
    <w:rsid w:val="00B14FF9"/>
    <w:rsid w:val="00B16CB7"/>
    <w:rsid w:val="00B21DDB"/>
    <w:rsid w:val="00B70970"/>
    <w:rsid w:val="00B71A50"/>
    <w:rsid w:val="00B856BD"/>
    <w:rsid w:val="00BD04A8"/>
    <w:rsid w:val="00BD12A1"/>
    <w:rsid w:val="00BE5A26"/>
    <w:rsid w:val="00BF45BB"/>
    <w:rsid w:val="00C23581"/>
    <w:rsid w:val="00C9148A"/>
    <w:rsid w:val="00CB0C8A"/>
    <w:rsid w:val="00CC32D1"/>
    <w:rsid w:val="00CE18BB"/>
    <w:rsid w:val="00CE6DE9"/>
    <w:rsid w:val="00CE7F1C"/>
    <w:rsid w:val="00CF4761"/>
    <w:rsid w:val="00D4687F"/>
    <w:rsid w:val="00D5233E"/>
    <w:rsid w:val="00D70199"/>
    <w:rsid w:val="00D80C88"/>
    <w:rsid w:val="00E57BF1"/>
    <w:rsid w:val="00E91688"/>
    <w:rsid w:val="00E95910"/>
    <w:rsid w:val="00EC462B"/>
    <w:rsid w:val="00ED3090"/>
    <w:rsid w:val="00EE3CE7"/>
    <w:rsid w:val="00EF7506"/>
    <w:rsid w:val="00F00CA1"/>
    <w:rsid w:val="00F17802"/>
    <w:rsid w:val="00F4658C"/>
    <w:rsid w:val="00F71631"/>
    <w:rsid w:val="00F728DB"/>
    <w:rsid w:val="00F806C5"/>
    <w:rsid w:val="00F83886"/>
    <w:rsid w:val="00F851B1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4057"/>
  <w15:chartTrackingRefBased/>
  <w15:docId w15:val="{F3EECAD7-94D8-4C80-AD3E-EF1881E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3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3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E2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164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E23D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23D5"/>
    <w:rPr>
      <w:b/>
      <w:bCs/>
    </w:rPr>
  </w:style>
  <w:style w:type="character" w:styleId="Lienhypertexte">
    <w:name w:val="Hyperlink"/>
    <w:basedOn w:val="Policepardfaut"/>
    <w:uiPriority w:val="99"/>
    <w:unhideWhenUsed/>
    <w:rsid w:val="009E23D5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C30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ntro">
    <w:name w:val="intro"/>
    <w:basedOn w:val="Policepardfaut"/>
    <w:rsid w:val="000C3043"/>
  </w:style>
  <w:style w:type="paragraph" w:customStyle="1" w:styleId="share">
    <w:name w:val="share"/>
    <w:basedOn w:val="Normal"/>
    <w:rsid w:val="00EC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62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498"/>
  </w:style>
  <w:style w:type="paragraph" w:styleId="Pieddepage">
    <w:name w:val="footer"/>
    <w:basedOn w:val="Normal"/>
    <w:link w:val="PieddepageCar"/>
    <w:uiPriority w:val="99"/>
    <w:unhideWhenUsed/>
    <w:rsid w:val="0017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498"/>
  </w:style>
  <w:style w:type="character" w:styleId="Mentionnonrsolue">
    <w:name w:val="Unresolved Mention"/>
    <w:basedOn w:val="Policepardfaut"/>
    <w:uiPriority w:val="99"/>
    <w:semiHidden/>
    <w:unhideWhenUsed/>
    <w:rsid w:val="008D6D5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95A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A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5A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A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5A2B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0164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0464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E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7D0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ifrance.fr/nos-appels-a-projets-concours/appel-a-projets-communs-numeriques-pour-lintelligence-artificielle-generat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3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VANLEENE</dc:creator>
  <cp:keywords/>
  <dc:description/>
  <cp:lastModifiedBy>Cécile DEPAEPE</cp:lastModifiedBy>
  <cp:revision>6</cp:revision>
  <cp:lastPrinted>2021-05-27T09:46:00Z</cp:lastPrinted>
  <dcterms:created xsi:type="dcterms:W3CDTF">2023-07-24T14:53:00Z</dcterms:created>
  <dcterms:modified xsi:type="dcterms:W3CDTF">2023-07-28T08:23:00Z</dcterms:modified>
</cp:coreProperties>
</file>